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629108" w14:textId="77777777" w:rsidR="00EF3E22" w:rsidRPr="003E756C" w:rsidRDefault="00EF3E22" w:rsidP="0080266D">
      <w:pPr>
        <w:framePr w:hSpace="180" w:wrap="auto" w:vAnchor="text" w:hAnchor="page" w:x="1861" w:y="-239"/>
        <w:tabs>
          <w:tab w:val="left" w:pos="9000"/>
        </w:tabs>
        <w:rPr>
          <w:sz w:val="24"/>
          <w:szCs w:val="24"/>
        </w:rPr>
      </w:pPr>
      <w:r>
        <w:rPr>
          <w:noProof/>
          <w:sz w:val="24"/>
          <w:szCs w:val="24"/>
        </w:rPr>
        <w:drawing>
          <wp:inline distT="0" distB="0" distL="0" distR="0" wp14:anchorId="711A674B" wp14:editId="1CF9A24F">
            <wp:extent cx="1640205"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219200"/>
                    </a:xfrm>
                    <a:prstGeom prst="rect">
                      <a:avLst/>
                    </a:prstGeom>
                    <a:noFill/>
                  </pic:spPr>
                </pic:pic>
              </a:graphicData>
            </a:graphic>
          </wp:inline>
        </w:drawing>
      </w:r>
      <w:r>
        <w:rPr>
          <w:noProof/>
          <w:sz w:val="24"/>
          <w:szCs w:val="24"/>
        </w:rPr>
        <w:drawing>
          <wp:inline distT="0" distB="0" distL="0" distR="0" wp14:anchorId="2FD46021" wp14:editId="0178AB02">
            <wp:extent cx="1626870" cy="1222375"/>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6870" cy="1222375"/>
                    </a:xfrm>
                    <a:prstGeom prst="rect">
                      <a:avLst/>
                    </a:prstGeom>
                    <a:noFill/>
                    <a:ln>
                      <a:noFill/>
                    </a:ln>
                  </pic:spPr>
                </pic:pic>
              </a:graphicData>
            </a:graphic>
          </wp:inline>
        </w:drawing>
      </w:r>
    </w:p>
    <w:p w14:paraId="5362A849" w14:textId="77777777" w:rsidR="00EF3E22" w:rsidRPr="003E756C" w:rsidRDefault="00EF3E22" w:rsidP="0080266D">
      <w:pPr>
        <w:framePr w:w="5269" w:h="865" w:hSpace="180" w:wrap="auto" w:vAnchor="text" w:hAnchor="page" w:x="4063" w:y="1"/>
        <w:tabs>
          <w:tab w:val="left" w:pos="-720"/>
          <w:tab w:val="left" w:pos="0"/>
          <w:tab w:val="left" w:pos="720"/>
          <w:tab w:val="left" w:pos="9000"/>
        </w:tabs>
        <w:suppressAutoHyphens/>
        <w:ind w:left="1440" w:hanging="1440"/>
        <w:jc w:val="center"/>
        <w:rPr>
          <w:spacing w:val="-3"/>
          <w:sz w:val="24"/>
          <w:szCs w:val="24"/>
        </w:rPr>
      </w:pPr>
      <w:r w:rsidRPr="003E756C">
        <w:rPr>
          <w:spacing w:val="-3"/>
          <w:sz w:val="24"/>
          <w:szCs w:val="24"/>
        </w:rPr>
        <w:t>TOWN OF CARRBORO</w:t>
      </w:r>
    </w:p>
    <w:p w14:paraId="0ADEE432" w14:textId="77777777" w:rsidR="00EF3E22" w:rsidRPr="003E756C" w:rsidRDefault="00EF3E22" w:rsidP="0080266D">
      <w:pPr>
        <w:framePr w:w="5269" w:h="865" w:hSpace="180" w:wrap="auto" w:vAnchor="text" w:hAnchor="page" w:x="4063" w:y="1"/>
        <w:tabs>
          <w:tab w:val="left" w:pos="-720"/>
          <w:tab w:val="left" w:pos="0"/>
          <w:tab w:val="left" w:pos="720"/>
          <w:tab w:val="left" w:pos="9000"/>
        </w:tabs>
        <w:suppressAutoHyphens/>
        <w:jc w:val="center"/>
        <w:rPr>
          <w:spacing w:val="-3"/>
          <w:sz w:val="24"/>
          <w:szCs w:val="24"/>
        </w:rPr>
      </w:pPr>
    </w:p>
    <w:p w14:paraId="23E50651" w14:textId="77777777" w:rsidR="00EF3E22" w:rsidRPr="003E756C" w:rsidRDefault="00EF3E22" w:rsidP="0080266D">
      <w:pPr>
        <w:framePr w:w="5269" w:h="865" w:hSpace="180" w:wrap="auto" w:vAnchor="text" w:hAnchor="page" w:x="4063" w:y="1"/>
        <w:tabs>
          <w:tab w:val="left" w:pos="-720"/>
          <w:tab w:val="left" w:pos="0"/>
          <w:tab w:val="left" w:pos="720"/>
          <w:tab w:val="left" w:pos="9000"/>
        </w:tabs>
        <w:suppressAutoHyphens/>
        <w:jc w:val="center"/>
        <w:rPr>
          <w:b/>
          <w:bCs/>
          <w:spacing w:val="-3"/>
          <w:sz w:val="24"/>
          <w:szCs w:val="24"/>
        </w:rPr>
      </w:pPr>
      <w:r w:rsidRPr="003E756C">
        <w:rPr>
          <w:spacing w:val="-3"/>
          <w:sz w:val="24"/>
          <w:szCs w:val="24"/>
        </w:rPr>
        <w:t>NORTH CAROLINA</w:t>
      </w:r>
    </w:p>
    <w:p w14:paraId="24301517" w14:textId="77777777" w:rsidR="00EF3E22" w:rsidRPr="003E756C" w:rsidRDefault="00EF3E22" w:rsidP="0080266D">
      <w:pPr>
        <w:framePr w:w="5269" w:h="865" w:hSpace="180" w:wrap="auto" w:vAnchor="text" w:hAnchor="page" w:x="4063" w:y="1"/>
        <w:tabs>
          <w:tab w:val="left" w:pos="9000"/>
        </w:tabs>
        <w:rPr>
          <w:sz w:val="24"/>
          <w:szCs w:val="24"/>
        </w:rPr>
      </w:pPr>
    </w:p>
    <w:p w14:paraId="63A5C7A7" w14:textId="77777777" w:rsidR="00EF3E22" w:rsidRPr="003E756C" w:rsidRDefault="00EF3E22" w:rsidP="0080266D">
      <w:pPr>
        <w:tabs>
          <w:tab w:val="left" w:pos="-720"/>
          <w:tab w:val="left" w:pos="0"/>
          <w:tab w:val="left" w:pos="720"/>
          <w:tab w:val="left" w:pos="9000"/>
        </w:tabs>
        <w:suppressAutoHyphens/>
        <w:jc w:val="both"/>
        <w:rPr>
          <w:b/>
          <w:bCs/>
          <w:spacing w:val="-3"/>
          <w:sz w:val="24"/>
          <w:szCs w:val="24"/>
        </w:rPr>
      </w:pPr>
    </w:p>
    <w:p w14:paraId="69E949A0" w14:textId="77777777" w:rsidR="00EF3E22" w:rsidRPr="003E756C" w:rsidRDefault="00EF3E22" w:rsidP="0080266D">
      <w:pPr>
        <w:tabs>
          <w:tab w:val="left" w:pos="-720"/>
          <w:tab w:val="left" w:pos="0"/>
          <w:tab w:val="left" w:pos="720"/>
          <w:tab w:val="left" w:pos="9000"/>
        </w:tabs>
        <w:suppressAutoHyphens/>
        <w:ind w:left="1440" w:hanging="1440"/>
        <w:jc w:val="both"/>
        <w:rPr>
          <w:b/>
          <w:bCs/>
          <w:spacing w:val="-3"/>
          <w:sz w:val="24"/>
          <w:szCs w:val="24"/>
        </w:rPr>
      </w:pPr>
    </w:p>
    <w:p w14:paraId="35BA77E9" w14:textId="77777777" w:rsidR="00EF3E22" w:rsidRPr="003E756C" w:rsidRDefault="00EF3E22" w:rsidP="0080266D">
      <w:pPr>
        <w:tabs>
          <w:tab w:val="left" w:pos="-720"/>
          <w:tab w:val="left" w:pos="0"/>
          <w:tab w:val="left" w:pos="720"/>
          <w:tab w:val="left" w:pos="9000"/>
        </w:tabs>
        <w:suppressAutoHyphens/>
        <w:ind w:left="1440" w:hanging="1440"/>
        <w:jc w:val="both"/>
        <w:rPr>
          <w:b/>
          <w:bCs/>
          <w:spacing w:val="-3"/>
          <w:sz w:val="24"/>
          <w:szCs w:val="24"/>
        </w:rPr>
      </w:pPr>
    </w:p>
    <w:p w14:paraId="4D96F7FD" w14:textId="77777777" w:rsidR="00EF3E22" w:rsidRPr="003E756C" w:rsidRDefault="00EF3E22" w:rsidP="0080266D">
      <w:pPr>
        <w:tabs>
          <w:tab w:val="left" w:pos="-720"/>
          <w:tab w:val="left" w:pos="0"/>
          <w:tab w:val="left" w:pos="720"/>
          <w:tab w:val="left" w:pos="9000"/>
        </w:tabs>
        <w:suppressAutoHyphens/>
        <w:ind w:left="1440" w:hanging="1440"/>
        <w:jc w:val="both"/>
        <w:rPr>
          <w:b/>
          <w:bCs/>
          <w:spacing w:val="-3"/>
          <w:sz w:val="24"/>
          <w:szCs w:val="24"/>
        </w:rPr>
      </w:pPr>
    </w:p>
    <w:p w14:paraId="0968BDAD" w14:textId="77777777" w:rsidR="00024DEA" w:rsidRDefault="00024DEA" w:rsidP="0080266D">
      <w:pPr>
        <w:tabs>
          <w:tab w:val="left" w:pos="-720"/>
          <w:tab w:val="left" w:pos="0"/>
          <w:tab w:val="left" w:pos="720"/>
          <w:tab w:val="left" w:pos="9000"/>
        </w:tabs>
        <w:suppressAutoHyphens/>
        <w:ind w:left="1440" w:hanging="1440"/>
        <w:jc w:val="both"/>
        <w:rPr>
          <w:b/>
          <w:bCs/>
          <w:spacing w:val="-3"/>
          <w:sz w:val="24"/>
          <w:szCs w:val="24"/>
        </w:rPr>
      </w:pPr>
      <w:r>
        <w:rPr>
          <w:b/>
          <w:bCs/>
          <w:spacing w:val="-3"/>
          <w:sz w:val="24"/>
          <w:szCs w:val="24"/>
        </w:rPr>
        <w:t>TRANSMITTAL</w:t>
      </w:r>
    </w:p>
    <w:p w14:paraId="33B496A7" w14:textId="6C53AD13" w:rsidR="00EF3E22" w:rsidRPr="003E756C" w:rsidRDefault="00024DEA" w:rsidP="0080266D">
      <w:pPr>
        <w:tabs>
          <w:tab w:val="left" w:pos="-720"/>
          <w:tab w:val="left" w:pos="0"/>
          <w:tab w:val="left" w:pos="720"/>
          <w:tab w:val="left" w:pos="9000"/>
        </w:tabs>
        <w:suppressAutoHyphens/>
        <w:ind w:left="1440" w:hanging="1440"/>
        <w:jc w:val="both"/>
        <w:rPr>
          <w:b/>
          <w:bCs/>
          <w:spacing w:val="-3"/>
          <w:sz w:val="24"/>
          <w:szCs w:val="24"/>
        </w:rPr>
      </w:pPr>
      <w:r>
        <w:rPr>
          <w:b/>
          <w:bCs/>
          <w:spacing w:val="-3"/>
          <w:sz w:val="24"/>
          <w:szCs w:val="24"/>
        </w:rPr>
        <w:t>PL</w:t>
      </w:r>
      <w:r w:rsidR="00EF3E22" w:rsidRPr="003E756C">
        <w:rPr>
          <w:b/>
          <w:bCs/>
          <w:spacing w:val="-3"/>
          <w:sz w:val="24"/>
          <w:szCs w:val="24"/>
        </w:rPr>
        <w:t>ANNING DEPARTMENT</w:t>
      </w:r>
    </w:p>
    <w:p w14:paraId="3204542B" w14:textId="77777777" w:rsidR="00EF3E22" w:rsidRPr="003E756C" w:rsidRDefault="00EF3E22" w:rsidP="0080266D">
      <w:pPr>
        <w:tabs>
          <w:tab w:val="left" w:pos="-720"/>
          <w:tab w:val="left" w:pos="0"/>
          <w:tab w:val="left" w:pos="720"/>
          <w:tab w:val="left" w:pos="9000"/>
        </w:tabs>
        <w:suppressAutoHyphens/>
        <w:jc w:val="both"/>
        <w:rPr>
          <w:b/>
          <w:bCs/>
          <w:spacing w:val="-3"/>
          <w:sz w:val="24"/>
          <w:szCs w:val="24"/>
        </w:rPr>
      </w:pPr>
    </w:p>
    <w:p w14:paraId="6B1DC4BE" w14:textId="77777777" w:rsidR="00EF3E22" w:rsidRPr="003E756C" w:rsidRDefault="00EF3E22" w:rsidP="0080266D">
      <w:pPr>
        <w:tabs>
          <w:tab w:val="left" w:pos="-720"/>
          <w:tab w:val="left" w:pos="0"/>
          <w:tab w:val="left" w:pos="720"/>
          <w:tab w:val="left" w:pos="9000"/>
        </w:tabs>
        <w:suppressAutoHyphens/>
        <w:jc w:val="both"/>
        <w:rPr>
          <w:b/>
          <w:bCs/>
          <w:i/>
          <w:iCs/>
          <w:spacing w:val="-3"/>
          <w:sz w:val="24"/>
          <w:szCs w:val="24"/>
        </w:rPr>
      </w:pPr>
      <w:r w:rsidRPr="003E756C">
        <w:rPr>
          <w:b/>
          <w:bCs/>
          <w:spacing w:val="-3"/>
          <w:sz w:val="24"/>
          <w:szCs w:val="24"/>
        </w:rPr>
        <w:t xml:space="preserve">DELIVERED VIA: </w:t>
      </w:r>
      <w:bookmarkStart w:id="0" w:name="Check1"/>
      <w:r w:rsidRPr="003E756C">
        <w:rPr>
          <w:sz w:val="24"/>
          <w:szCs w:val="24"/>
        </w:rPr>
        <w:fldChar w:fldCharType="begin">
          <w:ffData>
            <w:name w:val="Check1"/>
            <w:enabled/>
            <w:calcOnExit w:val="0"/>
            <w:checkBox>
              <w:sizeAuto/>
              <w:default w:val="0"/>
            </w:checkBox>
          </w:ffData>
        </w:fldChar>
      </w:r>
      <w:r w:rsidRPr="003E756C">
        <w:rPr>
          <w:sz w:val="24"/>
          <w:szCs w:val="24"/>
        </w:rPr>
        <w:instrText xml:space="preserve"> FORMCHECKBOX </w:instrText>
      </w:r>
      <w:r w:rsidR="00774385">
        <w:rPr>
          <w:sz w:val="24"/>
          <w:szCs w:val="24"/>
        </w:rPr>
      </w:r>
      <w:r w:rsidR="00774385">
        <w:rPr>
          <w:sz w:val="24"/>
          <w:szCs w:val="24"/>
        </w:rPr>
        <w:fldChar w:fldCharType="separate"/>
      </w:r>
      <w:r w:rsidRPr="003E756C">
        <w:rPr>
          <w:sz w:val="24"/>
          <w:szCs w:val="24"/>
        </w:rPr>
        <w:fldChar w:fldCharType="end"/>
      </w:r>
      <w:bookmarkEnd w:id="0"/>
      <w:r w:rsidRPr="003E756C">
        <w:rPr>
          <w:i/>
          <w:iCs/>
          <w:sz w:val="24"/>
          <w:szCs w:val="24"/>
        </w:rPr>
        <w:t xml:space="preserve"> HAND </w:t>
      </w:r>
      <w:r w:rsidRPr="003E756C">
        <w:rPr>
          <w:sz w:val="24"/>
          <w:szCs w:val="24"/>
        </w:rPr>
        <w:fldChar w:fldCharType="begin">
          <w:ffData>
            <w:name w:val="Check1"/>
            <w:enabled/>
            <w:calcOnExit w:val="0"/>
            <w:checkBox>
              <w:sizeAuto/>
              <w:default w:val="0"/>
            </w:checkBox>
          </w:ffData>
        </w:fldChar>
      </w:r>
      <w:r w:rsidRPr="003E756C">
        <w:rPr>
          <w:sz w:val="24"/>
          <w:szCs w:val="24"/>
        </w:rPr>
        <w:instrText xml:space="preserve"> FORMCHECKBOX </w:instrText>
      </w:r>
      <w:r w:rsidR="00774385">
        <w:rPr>
          <w:sz w:val="24"/>
          <w:szCs w:val="24"/>
        </w:rPr>
      </w:r>
      <w:r w:rsidR="00774385">
        <w:rPr>
          <w:sz w:val="24"/>
          <w:szCs w:val="24"/>
        </w:rPr>
        <w:fldChar w:fldCharType="separate"/>
      </w:r>
      <w:r w:rsidRPr="003E756C">
        <w:rPr>
          <w:sz w:val="24"/>
          <w:szCs w:val="24"/>
        </w:rPr>
        <w:fldChar w:fldCharType="end"/>
      </w:r>
      <w:r w:rsidRPr="003E756C">
        <w:rPr>
          <w:i/>
          <w:iCs/>
          <w:sz w:val="24"/>
          <w:szCs w:val="24"/>
        </w:rPr>
        <w:t xml:space="preserve"> MAIL</w:t>
      </w:r>
      <w:r w:rsidRPr="003E756C">
        <w:rPr>
          <w:sz w:val="24"/>
          <w:szCs w:val="24"/>
        </w:rPr>
        <w:t xml:space="preserve"> </w:t>
      </w:r>
      <w:r w:rsidRPr="003E756C">
        <w:rPr>
          <w:sz w:val="24"/>
          <w:szCs w:val="24"/>
        </w:rPr>
        <w:fldChar w:fldCharType="begin">
          <w:ffData>
            <w:name w:val="Check1"/>
            <w:enabled/>
            <w:calcOnExit w:val="0"/>
            <w:checkBox>
              <w:sizeAuto/>
              <w:default w:val="0"/>
            </w:checkBox>
          </w:ffData>
        </w:fldChar>
      </w:r>
      <w:r w:rsidRPr="003E756C">
        <w:rPr>
          <w:sz w:val="24"/>
          <w:szCs w:val="24"/>
        </w:rPr>
        <w:instrText xml:space="preserve"> FORMCHECKBOX </w:instrText>
      </w:r>
      <w:r w:rsidR="00774385">
        <w:rPr>
          <w:sz w:val="24"/>
          <w:szCs w:val="24"/>
        </w:rPr>
      </w:r>
      <w:r w:rsidR="00774385">
        <w:rPr>
          <w:sz w:val="24"/>
          <w:szCs w:val="24"/>
        </w:rPr>
        <w:fldChar w:fldCharType="separate"/>
      </w:r>
      <w:r w:rsidRPr="003E756C">
        <w:rPr>
          <w:sz w:val="24"/>
          <w:szCs w:val="24"/>
        </w:rPr>
        <w:fldChar w:fldCharType="end"/>
      </w:r>
      <w:r w:rsidRPr="003E756C">
        <w:rPr>
          <w:sz w:val="24"/>
          <w:szCs w:val="24"/>
        </w:rPr>
        <w:t xml:space="preserve"> </w:t>
      </w:r>
      <w:r w:rsidRPr="003E756C">
        <w:rPr>
          <w:i/>
          <w:iCs/>
          <w:sz w:val="24"/>
          <w:szCs w:val="24"/>
        </w:rPr>
        <w:t xml:space="preserve">FAX  </w:t>
      </w:r>
      <w:r w:rsidRPr="003E756C">
        <w:rPr>
          <w:sz w:val="24"/>
          <w:szCs w:val="24"/>
        </w:rPr>
        <w:fldChar w:fldCharType="begin">
          <w:ffData>
            <w:name w:val=""/>
            <w:enabled/>
            <w:calcOnExit w:val="0"/>
            <w:checkBox>
              <w:sizeAuto/>
              <w:default w:val="1"/>
            </w:checkBox>
          </w:ffData>
        </w:fldChar>
      </w:r>
      <w:r w:rsidRPr="003E756C">
        <w:rPr>
          <w:sz w:val="24"/>
          <w:szCs w:val="24"/>
        </w:rPr>
        <w:instrText xml:space="preserve"> FORMCHECKBOX </w:instrText>
      </w:r>
      <w:r w:rsidR="00774385">
        <w:rPr>
          <w:sz w:val="24"/>
          <w:szCs w:val="24"/>
        </w:rPr>
      </w:r>
      <w:r w:rsidR="00774385">
        <w:rPr>
          <w:sz w:val="24"/>
          <w:szCs w:val="24"/>
        </w:rPr>
        <w:fldChar w:fldCharType="separate"/>
      </w:r>
      <w:r w:rsidRPr="003E756C">
        <w:rPr>
          <w:sz w:val="24"/>
          <w:szCs w:val="24"/>
        </w:rPr>
        <w:fldChar w:fldCharType="end"/>
      </w:r>
      <w:r w:rsidRPr="003E756C">
        <w:rPr>
          <w:sz w:val="24"/>
          <w:szCs w:val="24"/>
        </w:rPr>
        <w:t xml:space="preserve">  </w:t>
      </w:r>
      <w:r w:rsidRPr="003E756C">
        <w:rPr>
          <w:i/>
          <w:iCs/>
          <w:sz w:val="24"/>
          <w:szCs w:val="24"/>
        </w:rPr>
        <w:t>EMAIL</w:t>
      </w:r>
    </w:p>
    <w:p w14:paraId="7011A608" w14:textId="77777777" w:rsidR="00EF3E22" w:rsidRPr="003E756C" w:rsidRDefault="00EF3E22" w:rsidP="0080266D">
      <w:pPr>
        <w:tabs>
          <w:tab w:val="left" w:pos="-720"/>
          <w:tab w:val="left" w:pos="0"/>
          <w:tab w:val="left" w:pos="720"/>
          <w:tab w:val="left" w:pos="9000"/>
        </w:tabs>
        <w:suppressAutoHyphens/>
        <w:jc w:val="both"/>
        <w:rPr>
          <w:b/>
          <w:bCs/>
          <w:spacing w:val="-3"/>
          <w:sz w:val="24"/>
          <w:szCs w:val="24"/>
        </w:rPr>
      </w:pPr>
    </w:p>
    <w:p w14:paraId="665684D1" w14:textId="77777777" w:rsidR="00666604" w:rsidRDefault="00EF3E22" w:rsidP="0080266D">
      <w:pPr>
        <w:tabs>
          <w:tab w:val="left" w:pos="-720"/>
          <w:tab w:val="left" w:pos="0"/>
          <w:tab w:val="left" w:pos="720"/>
          <w:tab w:val="left" w:pos="9000"/>
        </w:tabs>
        <w:suppressAutoHyphens/>
        <w:ind w:left="1440" w:hanging="1440"/>
        <w:jc w:val="both"/>
        <w:rPr>
          <w:b/>
          <w:bCs/>
          <w:spacing w:val="-3"/>
          <w:sz w:val="24"/>
          <w:szCs w:val="24"/>
        </w:rPr>
      </w:pPr>
      <w:r w:rsidRPr="003E756C">
        <w:rPr>
          <w:b/>
          <w:bCs/>
          <w:spacing w:val="-3"/>
          <w:sz w:val="24"/>
          <w:szCs w:val="24"/>
        </w:rPr>
        <w:t>To:</w:t>
      </w:r>
      <w:r w:rsidRPr="003E756C">
        <w:rPr>
          <w:b/>
          <w:bCs/>
          <w:spacing w:val="-3"/>
          <w:sz w:val="24"/>
          <w:szCs w:val="24"/>
        </w:rPr>
        <w:tab/>
      </w:r>
      <w:r w:rsidRPr="003E756C">
        <w:rPr>
          <w:b/>
          <w:bCs/>
          <w:spacing w:val="-3"/>
          <w:sz w:val="24"/>
          <w:szCs w:val="24"/>
        </w:rPr>
        <w:tab/>
      </w:r>
      <w:r w:rsidR="00666604">
        <w:rPr>
          <w:b/>
          <w:bCs/>
          <w:spacing w:val="-3"/>
          <w:sz w:val="24"/>
          <w:szCs w:val="24"/>
        </w:rPr>
        <w:t xml:space="preserve">Board of Aldermen </w:t>
      </w:r>
    </w:p>
    <w:p w14:paraId="701B683B" w14:textId="4C657778" w:rsidR="00EF3E22" w:rsidRDefault="00666604" w:rsidP="0080266D">
      <w:pPr>
        <w:tabs>
          <w:tab w:val="left" w:pos="-720"/>
          <w:tab w:val="left" w:pos="0"/>
          <w:tab w:val="left" w:pos="720"/>
          <w:tab w:val="left" w:pos="9000"/>
        </w:tabs>
        <w:suppressAutoHyphens/>
        <w:ind w:left="1440" w:hanging="1440"/>
        <w:jc w:val="both"/>
        <w:rPr>
          <w:b/>
          <w:bCs/>
          <w:spacing w:val="-3"/>
          <w:sz w:val="24"/>
          <w:szCs w:val="24"/>
        </w:rPr>
      </w:pPr>
      <w:r>
        <w:rPr>
          <w:b/>
          <w:bCs/>
          <w:spacing w:val="-3"/>
          <w:sz w:val="24"/>
          <w:szCs w:val="24"/>
        </w:rPr>
        <w:tab/>
      </w:r>
      <w:r>
        <w:rPr>
          <w:b/>
          <w:bCs/>
          <w:spacing w:val="-3"/>
          <w:sz w:val="24"/>
          <w:szCs w:val="24"/>
        </w:rPr>
        <w:tab/>
      </w:r>
      <w:r w:rsidR="00EF3E22">
        <w:rPr>
          <w:b/>
          <w:bCs/>
          <w:spacing w:val="-3"/>
          <w:sz w:val="24"/>
          <w:szCs w:val="24"/>
        </w:rPr>
        <w:t>David Andrews, Town Manager</w:t>
      </w:r>
    </w:p>
    <w:p w14:paraId="5B0455BE" w14:textId="228FA66D" w:rsidR="00DB6555" w:rsidRPr="003E756C" w:rsidRDefault="00EF3E22" w:rsidP="0080266D">
      <w:pPr>
        <w:tabs>
          <w:tab w:val="left" w:pos="-720"/>
          <w:tab w:val="left" w:pos="0"/>
          <w:tab w:val="left" w:pos="720"/>
          <w:tab w:val="left" w:pos="9000"/>
        </w:tabs>
        <w:suppressAutoHyphens/>
        <w:ind w:left="1440" w:hanging="1440"/>
        <w:jc w:val="both"/>
        <w:rPr>
          <w:b/>
          <w:bCs/>
          <w:spacing w:val="-3"/>
          <w:sz w:val="24"/>
          <w:szCs w:val="24"/>
        </w:rPr>
      </w:pPr>
      <w:r>
        <w:rPr>
          <w:b/>
          <w:bCs/>
          <w:spacing w:val="-3"/>
          <w:sz w:val="24"/>
          <w:szCs w:val="24"/>
        </w:rPr>
        <w:tab/>
      </w:r>
      <w:r>
        <w:rPr>
          <w:b/>
          <w:bCs/>
          <w:spacing w:val="-3"/>
          <w:sz w:val="24"/>
          <w:szCs w:val="24"/>
        </w:rPr>
        <w:tab/>
      </w:r>
      <w:r w:rsidR="00DB6555">
        <w:rPr>
          <w:b/>
          <w:bCs/>
          <w:spacing w:val="-3"/>
          <w:sz w:val="24"/>
          <w:szCs w:val="24"/>
        </w:rPr>
        <w:t>Department Directors</w:t>
      </w:r>
    </w:p>
    <w:p w14:paraId="0654241C" w14:textId="77777777" w:rsidR="00EF3E22" w:rsidRPr="003E756C" w:rsidRDefault="00EF3E22" w:rsidP="0080266D">
      <w:pPr>
        <w:tabs>
          <w:tab w:val="left" w:pos="-720"/>
          <w:tab w:val="left" w:pos="0"/>
          <w:tab w:val="left" w:pos="720"/>
          <w:tab w:val="left" w:pos="9000"/>
        </w:tabs>
        <w:suppressAutoHyphens/>
        <w:jc w:val="both"/>
        <w:rPr>
          <w:b/>
          <w:bCs/>
          <w:spacing w:val="-3"/>
          <w:sz w:val="24"/>
          <w:szCs w:val="24"/>
        </w:rPr>
      </w:pPr>
    </w:p>
    <w:p w14:paraId="64F9E797" w14:textId="1817E593" w:rsidR="00EF3E22" w:rsidRDefault="00EF3E22" w:rsidP="0080266D">
      <w:pPr>
        <w:tabs>
          <w:tab w:val="left" w:pos="-720"/>
          <w:tab w:val="left" w:pos="0"/>
          <w:tab w:val="left" w:pos="720"/>
          <w:tab w:val="left" w:pos="9000"/>
        </w:tabs>
        <w:suppressAutoHyphens/>
        <w:ind w:left="1440" w:hanging="1440"/>
        <w:jc w:val="both"/>
        <w:rPr>
          <w:b/>
          <w:bCs/>
          <w:spacing w:val="-3"/>
          <w:sz w:val="24"/>
          <w:szCs w:val="24"/>
        </w:rPr>
      </w:pPr>
      <w:r>
        <w:rPr>
          <w:b/>
          <w:bCs/>
          <w:spacing w:val="-3"/>
          <w:sz w:val="24"/>
          <w:szCs w:val="24"/>
        </w:rPr>
        <w:t>From:</w:t>
      </w:r>
      <w:r w:rsidR="00FE15B5">
        <w:rPr>
          <w:b/>
          <w:bCs/>
          <w:spacing w:val="-3"/>
          <w:sz w:val="24"/>
          <w:szCs w:val="24"/>
        </w:rPr>
        <w:tab/>
      </w:r>
      <w:r w:rsidR="00FE15B5">
        <w:rPr>
          <w:b/>
          <w:bCs/>
          <w:spacing w:val="-3"/>
          <w:sz w:val="24"/>
          <w:szCs w:val="24"/>
        </w:rPr>
        <w:tab/>
        <w:t>Chris Lazinski</w:t>
      </w:r>
      <w:r w:rsidR="00DB6555">
        <w:rPr>
          <w:b/>
          <w:bCs/>
          <w:spacing w:val="-3"/>
          <w:sz w:val="24"/>
          <w:szCs w:val="24"/>
        </w:rPr>
        <w:t>, Consultant</w:t>
      </w:r>
    </w:p>
    <w:p w14:paraId="67CEF40B" w14:textId="2F303C1E" w:rsidR="00DB6555" w:rsidRDefault="00666896" w:rsidP="0080266D">
      <w:pPr>
        <w:tabs>
          <w:tab w:val="left" w:pos="-720"/>
          <w:tab w:val="left" w:pos="0"/>
          <w:tab w:val="left" w:pos="720"/>
          <w:tab w:val="left" w:pos="9000"/>
        </w:tabs>
        <w:suppressAutoHyphens/>
        <w:ind w:left="1440" w:hanging="1440"/>
        <w:jc w:val="both"/>
        <w:rPr>
          <w:b/>
          <w:bCs/>
          <w:spacing w:val="-3"/>
          <w:sz w:val="24"/>
          <w:szCs w:val="24"/>
        </w:rPr>
      </w:pPr>
      <w:r>
        <w:rPr>
          <w:b/>
          <w:bCs/>
          <w:spacing w:val="-3"/>
          <w:sz w:val="24"/>
          <w:szCs w:val="24"/>
        </w:rPr>
        <w:tab/>
      </w:r>
      <w:r>
        <w:rPr>
          <w:b/>
          <w:bCs/>
          <w:spacing w:val="-3"/>
          <w:sz w:val="24"/>
          <w:szCs w:val="24"/>
        </w:rPr>
        <w:tab/>
      </w:r>
      <w:r w:rsidR="00DB6555">
        <w:rPr>
          <w:b/>
          <w:bCs/>
          <w:spacing w:val="-3"/>
          <w:sz w:val="24"/>
          <w:szCs w:val="24"/>
        </w:rPr>
        <w:t>Randy Dodd, Environmental Planner</w:t>
      </w:r>
    </w:p>
    <w:p w14:paraId="53719058" w14:textId="77777777" w:rsidR="00CB0D8F" w:rsidRDefault="00CB0D8F" w:rsidP="0080266D">
      <w:pPr>
        <w:tabs>
          <w:tab w:val="left" w:pos="-720"/>
          <w:tab w:val="left" w:pos="0"/>
          <w:tab w:val="left" w:pos="720"/>
          <w:tab w:val="left" w:pos="9000"/>
        </w:tabs>
        <w:suppressAutoHyphens/>
        <w:ind w:left="1440" w:hanging="1440"/>
        <w:jc w:val="both"/>
        <w:rPr>
          <w:b/>
          <w:bCs/>
          <w:spacing w:val="-3"/>
          <w:sz w:val="24"/>
          <w:szCs w:val="24"/>
        </w:rPr>
      </w:pPr>
    </w:p>
    <w:p w14:paraId="44193B2B" w14:textId="77777777" w:rsidR="00CB0D8F" w:rsidRDefault="00CB0D8F" w:rsidP="00CB0D8F">
      <w:pPr>
        <w:tabs>
          <w:tab w:val="left" w:pos="-720"/>
          <w:tab w:val="left" w:pos="0"/>
          <w:tab w:val="left" w:pos="720"/>
          <w:tab w:val="left" w:pos="9000"/>
        </w:tabs>
        <w:suppressAutoHyphens/>
        <w:ind w:left="1440" w:hanging="1440"/>
        <w:jc w:val="both"/>
        <w:rPr>
          <w:b/>
          <w:bCs/>
          <w:spacing w:val="-3"/>
          <w:sz w:val="24"/>
          <w:szCs w:val="24"/>
        </w:rPr>
      </w:pPr>
      <w:r>
        <w:rPr>
          <w:b/>
          <w:bCs/>
          <w:spacing w:val="-3"/>
          <w:sz w:val="24"/>
          <w:szCs w:val="24"/>
        </w:rPr>
        <w:t>Through:</w:t>
      </w:r>
      <w:r>
        <w:rPr>
          <w:b/>
          <w:bCs/>
          <w:spacing w:val="-3"/>
          <w:sz w:val="24"/>
          <w:szCs w:val="24"/>
        </w:rPr>
        <w:tab/>
        <w:t>Christina Moon, Planning Administrator</w:t>
      </w:r>
    </w:p>
    <w:p w14:paraId="16FFC4F4" w14:textId="04D9AAA5" w:rsidR="00CB0D8F" w:rsidRDefault="00CB0D8F" w:rsidP="00CB0D8F">
      <w:pPr>
        <w:tabs>
          <w:tab w:val="left" w:pos="-720"/>
          <w:tab w:val="left" w:pos="0"/>
          <w:tab w:val="left" w:pos="720"/>
          <w:tab w:val="left" w:pos="9000"/>
        </w:tabs>
        <w:suppressAutoHyphens/>
        <w:ind w:left="1440" w:hanging="1440"/>
        <w:jc w:val="both"/>
        <w:rPr>
          <w:b/>
          <w:bCs/>
          <w:spacing w:val="-3"/>
          <w:sz w:val="24"/>
          <w:szCs w:val="24"/>
        </w:rPr>
      </w:pPr>
      <w:r>
        <w:rPr>
          <w:b/>
          <w:bCs/>
          <w:spacing w:val="-3"/>
          <w:sz w:val="24"/>
          <w:szCs w:val="24"/>
        </w:rPr>
        <w:tab/>
      </w:r>
      <w:r>
        <w:rPr>
          <w:b/>
          <w:bCs/>
          <w:spacing w:val="-3"/>
          <w:sz w:val="24"/>
          <w:szCs w:val="24"/>
        </w:rPr>
        <w:tab/>
        <w:t>Patricia McGuire, Planning Director</w:t>
      </w:r>
    </w:p>
    <w:p w14:paraId="17D5EC5F" w14:textId="77777777" w:rsidR="00CB0D8F" w:rsidRDefault="00CB0D8F" w:rsidP="00CB0D8F">
      <w:pPr>
        <w:tabs>
          <w:tab w:val="left" w:pos="-720"/>
          <w:tab w:val="left" w:pos="0"/>
          <w:tab w:val="left" w:pos="720"/>
          <w:tab w:val="left" w:pos="9000"/>
        </w:tabs>
        <w:suppressAutoHyphens/>
        <w:ind w:left="1440" w:hanging="1440"/>
        <w:jc w:val="both"/>
        <w:rPr>
          <w:b/>
          <w:bCs/>
          <w:spacing w:val="-3"/>
          <w:sz w:val="24"/>
          <w:szCs w:val="24"/>
        </w:rPr>
      </w:pPr>
    </w:p>
    <w:p w14:paraId="0B134AFB" w14:textId="2630DD24" w:rsidR="00EF3E22" w:rsidRPr="003E756C" w:rsidRDefault="00EF3E22" w:rsidP="0080266D">
      <w:pPr>
        <w:tabs>
          <w:tab w:val="left" w:pos="-720"/>
          <w:tab w:val="left" w:pos="0"/>
          <w:tab w:val="left" w:pos="720"/>
          <w:tab w:val="left" w:pos="9000"/>
        </w:tabs>
        <w:suppressAutoHyphens/>
        <w:ind w:left="1440" w:hanging="1440"/>
        <w:jc w:val="both"/>
        <w:rPr>
          <w:b/>
          <w:bCs/>
          <w:spacing w:val="-3"/>
          <w:sz w:val="24"/>
          <w:szCs w:val="24"/>
        </w:rPr>
      </w:pPr>
      <w:r w:rsidRPr="003E756C">
        <w:rPr>
          <w:b/>
          <w:bCs/>
          <w:spacing w:val="-3"/>
          <w:sz w:val="24"/>
          <w:szCs w:val="24"/>
        </w:rPr>
        <w:t>Date:</w:t>
      </w:r>
      <w:r w:rsidRPr="003E756C">
        <w:rPr>
          <w:b/>
          <w:bCs/>
          <w:spacing w:val="-3"/>
          <w:sz w:val="24"/>
          <w:szCs w:val="24"/>
        </w:rPr>
        <w:tab/>
      </w:r>
      <w:r w:rsidRPr="003E756C">
        <w:rPr>
          <w:b/>
          <w:bCs/>
          <w:spacing w:val="-3"/>
          <w:sz w:val="24"/>
          <w:szCs w:val="24"/>
        </w:rPr>
        <w:tab/>
      </w:r>
      <w:r w:rsidR="00B42C20">
        <w:rPr>
          <w:b/>
          <w:bCs/>
          <w:spacing w:val="-3"/>
          <w:sz w:val="24"/>
          <w:szCs w:val="24"/>
        </w:rPr>
        <w:t>June</w:t>
      </w:r>
      <w:r w:rsidR="00E1297E">
        <w:rPr>
          <w:b/>
          <w:bCs/>
          <w:spacing w:val="-3"/>
          <w:sz w:val="24"/>
          <w:szCs w:val="24"/>
        </w:rPr>
        <w:t xml:space="preserve"> </w:t>
      </w:r>
      <w:r w:rsidR="00025EEB">
        <w:rPr>
          <w:b/>
          <w:bCs/>
          <w:spacing w:val="-3"/>
          <w:sz w:val="24"/>
          <w:szCs w:val="24"/>
        </w:rPr>
        <w:t>13</w:t>
      </w:r>
      <w:r w:rsidR="00774385">
        <w:rPr>
          <w:b/>
          <w:bCs/>
          <w:spacing w:val="-3"/>
          <w:sz w:val="24"/>
          <w:szCs w:val="24"/>
        </w:rPr>
        <w:t>,</w:t>
      </w:r>
      <w:r w:rsidRPr="003E756C">
        <w:rPr>
          <w:b/>
          <w:bCs/>
          <w:spacing w:val="-3"/>
          <w:sz w:val="24"/>
          <w:szCs w:val="24"/>
        </w:rPr>
        <w:t xml:space="preserve"> 201</w:t>
      </w:r>
      <w:r w:rsidR="0016798C">
        <w:rPr>
          <w:b/>
          <w:bCs/>
          <w:spacing w:val="-3"/>
          <w:sz w:val="24"/>
          <w:szCs w:val="24"/>
        </w:rPr>
        <w:t>7</w:t>
      </w:r>
    </w:p>
    <w:p w14:paraId="7E30294A" w14:textId="77777777" w:rsidR="00EF3E22" w:rsidRPr="003E756C" w:rsidRDefault="00EF3E22" w:rsidP="0080266D">
      <w:pPr>
        <w:tabs>
          <w:tab w:val="left" w:pos="-720"/>
          <w:tab w:val="left" w:pos="9000"/>
        </w:tabs>
        <w:suppressAutoHyphens/>
        <w:jc w:val="both"/>
        <w:rPr>
          <w:b/>
          <w:bCs/>
          <w:spacing w:val="-3"/>
          <w:sz w:val="24"/>
          <w:szCs w:val="24"/>
        </w:rPr>
      </w:pPr>
    </w:p>
    <w:p w14:paraId="18ACFF3C" w14:textId="2EAD74E5" w:rsidR="00EF3E22" w:rsidRDefault="00EF3E22" w:rsidP="0080266D">
      <w:pPr>
        <w:tabs>
          <w:tab w:val="left" w:pos="-720"/>
          <w:tab w:val="left" w:pos="0"/>
          <w:tab w:val="left" w:pos="720"/>
          <w:tab w:val="left" w:pos="9000"/>
        </w:tabs>
        <w:suppressAutoHyphens/>
        <w:ind w:left="1440" w:hanging="1440"/>
        <w:jc w:val="both"/>
        <w:rPr>
          <w:b/>
          <w:bCs/>
          <w:spacing w:val="-3"/>
          <w:sz w:val="24"/>
          <w:szCs w:val="24"/>
        </w:rPr>
      </w:pPr>
      <w:r w:rsidRPr="003E756C">
        <w:rPr>
          <w:b/>
          <w:bCs/>
          <w:spacing w:val="-3"/>
          <w:sz w:val="24"/>
          <w:szCs w:val="24"/>
        </w:rPr>
        <w:t>Subject:</w:t>
      </w:r>
      <w:r w:rsidRPr="003E756C">
        <w:rPr>
          <w:b/>
          <w:bCs/>
          <w:spacing w:val="-3"/>
          <w:sz w:val="24"/>
          <w:szCs w:val="24"/>
        </w:rPr>
        <w:tab/>
      </w:r>
      <w:r>
        <w:rPr>
          <w:b/>
          <w:bCs/>
          <w:spacing w:val="-3"/>
          <w:sz w:val="24"/>
          <w:szCs w:val="24"/>
        </w:rPr>
        <w:t>Town of Carrbor</w:t>
      </w:r>
      <w:r w:rsidR="00B7124B">
        <w:rPr>
          <w:b/>
          <w:bCs/>
          <w:spacing w:val="-3"/>
          <w:sz w:val="24"/>
          <w:szCs w:val="24"/>
        </w:rPr>
        <w:t>o 201</w:t>
      </w:r>
      <w:r w:rsidR="0016798C">
        <w:rPr>
          <w:b/>
          <w:bCs/>
          <w:spacing w:val="-3"/>
          <w:sz w:val="24"/>
          <w:szCs w:val="24"/>
        </w:rPr>
        <w:t>6</w:t>
      </w:r>
      <w:r w:rsidR="00FB38EB">
        <w:rPr>
          <w:b/>
          <w:bCs/>
          <w:spacing w:val="-3"/>
          <w:sz w:val="24"/>
          <w:szCs w:val="24"/>
        </w:rPr>
        <w:t xml:space="preserve"> Greenhouse Gas Inventory</w:t>
      </w:r>
    </w:p>
    <w:p w14:paraId="3FC8644F" w14:textId="77777777" w:rsidR="00EF3E22" w:rsidRDefault="00EF3E22" w:rsidP="0080266D">
      <w:pPr>
        <w:tabs>
          <w:tab w:val="left" w:pos="-720"/>
          <w:tab w:val="left" w:pos="0"/>
          <w:tab w:val="left" w:pos="720"/>
          <w:tab w:val="left" w:pos="9000"/>
        </w:tabs>
        <w:suppressAutoHyphens/>
        <w:ind w:left="1440" w:hanging="1440"/>
        <w:jc w:val="both"/>
        <w:rPr>
          <w:sz w:val="24"/>
          <w:szCs w:val="24"/>
          <w:u w:val="single"/>
        </w:rPr>
      </w:pPr>
    </w:p>
    <w:p w14:paraId="781E2F5F" w14:textId="77777777" w:rsidR="00716DCB" w:rsidRPr="003E756C" w:rsidRDefault="00716DCB" w:rsidP="0080266D">
      <w:pPr>
        <w:tabs>
          <w:tab w:val="left" w:pos="-720"/>
          <w:tab w:val="left" w:pos="0"/>
          <w:tab w:val="left" w:pos="720"/>
          <w:tab w:val="left" w:pos="9000"/>
        </w:tabs>
        <w:suppressAutoHyphens/>
        <w:ind w:left="1440" w:hanging="1440"/>
        <w:jc w:val="both"/>
        <w:rPr>
          <w:sz w:val="24"/>
          <w:szCs w:val="24"/>
          <w:u w:val="single"/>
        </w:rPr>
      </w:pPr>
    </w:p>
    <w:p w14:paraId="05BCF76E" w14:textId="77777777" w:rsidR="00EF3E22" w:rsidRPr="003E756C" w:rsidRDefault="00EF3E22" w:rsidP="0080266D">
      <w:pPr>
        <w:tabs>
          <w:tab w:val="left" w:pos="9000"/>
        </w:tabs>
        <w:rPr>
          <w:b/>
          <w:sz w:val="24"/>
          <w:szCs w:val="24"/>
          <w:u w:val="single"/>
        </w:rPr>
      </w:pPr>
      <w:r w:rsidRPr="003E756C">
        <w:rPr>
          <w:b/>
          <w:sz w:val="24"/>
          <w:szCs w:val="24"/>
          <w:u w:val="single"/>
        </w:rPr>
        <w:t>Background and Summary</w:t>
      </w:r>
    </w:p>
    <w:p w14:paraId="3D6CEA70" w14:textId="77777777" w:rsidR="00EF3E22" w:rsidRPr="003E756C" w:rsidRDefault="00EF3E22" w:rsidP="0080266D">
      <w:pPr>
        <w:tabs>
          <w:tab w:val="left" w:pos="9000"/>
        </w:tabs>
        <w:rPr>
          <w:b/>
          <w:sz w:val="24"/>
          <w:szCs w:val="24"/>
          <w:u w:val="single"/>
        </w:rPr>
      </w:pPr>
    </w:p>
    <w:p w14:paraId="5EE96C7A" w14:textId="6BF53BA9" w:rsidR="00802FA4" w:rsidRDefault="00CB0D8F" w:rsidP="0080266D">
      <w:pPr>
        <w:tabs>
          <w:tab w:val="left" w:pos="9000"/>
        </w:tabs>
        <w:rPr>
          <w:sz w:val="24"/>
          <w:szCs w:val="24"/>
        </w:rPr>
      </w:pPr>
      <w:r>
        <w:rPr>
          <w:sz w:val="24"/>
          <w:szCs w:val="24"/>
        </w:rPr>
        <w:t xml:space="preserve">For over a decade, Carrboro has had an interest in tracking greenhouse gas emissions. The Town joined ICLEI – Local Governments for Sustainability and the Cities for Climate Protection (CCP) initiative in 2005 and worked with other local governments to create a countywide inventory. Other </w:t>
      </w:r>
      <w:r w:rsidR="00B773A2">
        <w:rPr>
          <w:sz w:val="24"/>
          <w:szCs w:val="24"/>
        </w:rPr>
        <w:t>important drivers</w:t>
      </w:r>
      <w:r>
        <w:rPr>
          <w:sz w:val="24"/>
          <w:szCs w:val="24"/>
        </w:rPr>
        <w:t xml:space="preserve"> for monitoring emissions include: 1) the passage of a resolution by the Board of Aldermen in 2009 committing the Town to a goal to </w:t>
      </w:r>
      <w:r>
        <w:rPr>
          <w:sz w:val="24"/>
        </w:rPr>
        <w:t>“cut CO</w:t>
      </w:r>
      <w:r w:rsidRPr="00891A23">
        <w:rPr>
          <w:sz w:val="24"/>
          <w:vertAlign w:val="subscript"/>
        </w:rPr>
        <w:t>2</w:t>
      </w:r>
      <w:r>
        <w:rPr>
          <w:sz w:val="24"/>
        </w:rPr>
        <w:t xml:space="preserve"> emissions by [the Town’s] proportion of the amount which is required to stabilize the climate back to less than 350ppm of CO</w:t>
      </w:r>
      <w:r w:rsidRPr="00891A23">
        <w:rPr>
          <w:sz w:val="24"/>
          <w:vertAlign w:val="subscript"/>
        </w:rPr>
        <w:t>2</w:t>
      </w:r>
      <w:r>
        <w:rPr>
          <w:sz w:val="24"/>
        </w:rPr>
        <w:t xml:space="preserve"> in the atmosphere in time for a 90% probability for success” in averting the worst impacts of climate change,</w:t>
      </w:r>
      <w:r w:rsidR="007C28C0">
        <w:rPr>
          <w:sz w:val="24"/>
        </w:rPr>
        <w:t xml:space="preserve"> 2) the completion of an</w:t>
      </w:r>
      <w:r>
        <w:rPr>
          <w:sz w:val="24"/>
        </w:rPr>
        <w:t xml:space="preserve"> Energy and Climate Action Plan for municipal operations i</w:t>
      </w:r>
      <w:r>
        <w:rPr>
          <w:sz w:val="24"/>
          <w:szCs w:val="24"/>
        </w:rPr>
        <w:t>n 2014; and 3) the completion of a Community Climate Action Plan in 2017.</w:t>
      </w:r>
      <w:r w:rsidR="00802FA4">
        <w:rPr>
          <w:sz w:val="24"/>
          <w:szCs w:val="24"/>
        </w:rPr>
        <w:t xml:space="preserve"> </w:t>
      </w:r>
    </w:p>
    <w:p w14:paraId="0663EF0C" w14:textId="77777777" w:rsidR="00802FA4" w:rsidRDefault="00802FA4" w:rsidP="0080266D">
      <w:pPr>
        <w:tabs>
          <w:tab w:val="left" w:pos="9000"/>
        </w:tabs>
        <w:rPr>
          <w:sz w:val="24"/>
          <w:szCs w:val="24"/>
        </w:rPr>
      </w:pPr>
    </w:p>
    <w:p w14:paraId="12FD4ED0" w14:textId="11AE669F" w:rsidR="00EF3E22" w:rsidRDefault="00312A73" w:rsidP="0080266D">
      <w:pPr>
        <w:tabs>
          <w:tab w:val="left" w:pos="9000"/>
        </w:tabs>
        <w:rPr>
          <w:sz w:val="24"/>
          <w:szCs w:val="24"/>
        </w:rPr>
      </w:pPr>
      <w:r>
        <w:rPr>
          <w:sz w:val="24"/>
          <w:szCs w:val="24"/>
        </w:rPr>
        <w:t xml:space="preserve">This sixth annual </w:t>
      </w:r>
      <w:r w:rsidR="0083451C">
        <w:rPr>
          <w:sz w:val="24"/>
          <w:szCs w:val="24"/>
        </w:rPr>
        <w:t xml:space="preserve">inventory </w:t>
      </w:r>
      <w:r w:rsidR="00FB38EB">
        <w:rPr>
          <w:sz w:val="24"/>
          <w:szCs w:val="24"/>
        </w:rPr>
        <w:t xml:space="preserve">has been completed to track the Town’s progress in reducing GHG emissions </w:t>
      </w:r>
      <w:r w:rsidR="00B773A2">
        <w:rPr>
          <w:sz w:val="24"/>
          <w:szCs w:val="24"/>
        </w:rPr>
        <w:t>from</w:t>
      </w:r>
      <w:r w:rsidR="00FB38EB">
        <w:rPr>
          <w:sz w:val="24"/>
          <w:szCs w:val="24"/>
        </w:rPr>
        <w:t xml:space="preserve"> municipal operations</w:t>
      </w:r>
      <w:r>
        <w:rPr>
          <w:sz w:val="24"/>
          <w:szCs w:val="24"/>
        </w:rPr>
        <w:t xml:space="preserve"> and to </w:t>
      </w:r>
      <w:r w:rsidR="00DE001E">
        <w:rPr>
          <w:sz w:val="24"/>
          <w:szCs w:val="24"/>
        </w:rPr>
        <w:t xml:space="preserve">fulfill </w:t>
      </w:r>
      <w:r w:rsidR="00D62B34">
        <w:rPr>
          <w:sz w:val="24"/>
          <w:szCs w:val="24"/>
        </w:rPr>
        <w:t xml:space="preserve">CCP </w:t>
      </w:r>
      <w:r w:rsidR="00DE001E">
        <w:rPr>
          <w:sz w:val="24"/>
          <w:szCs w:val="24"/>
        </w:rPr>
        <w:t>Milestone 5</w:t>
      </w:r>
      <w:r w:rsidR="00EF3E22">
        <w:rPr>
          <w:sz w:val="24"/>
          <w:szCs w:val="24"/>
        </w:rPr>
        <w:t xml:space="preserve"> </w:t>
      </w:r>
      <w:r w:rsidR="00DB6555" w:rsidRPr="00DB6555">
        <w:rPr>
          <w:sz w:val="24"/>
          <w:szCs w:val="24"/>
        </w:rPr>
        <w:t xml:space="preserve">for monitoring and </w:t>
      </w:r>
      <w:r w:rsidR="00DB6555" w:rsidRPr="00DB6555">
        <w:rPr>
          <w:sz w:val="24"/>
          <w:szCs w:val="24"/>
        </w:rPr>
        <w:lastRenderedPageBreak/>
        <w:t xml:space="preserve">verifying results of actions pursued </w:t>
      </w:r>
      <w:r w:rsidR="00EF3E22">
        <w:rPr>
          <w:sz w:val="24"/>
          <w:szCs w:val="24"/>
        </w:rPr>
        <w:t>(</w:t>
      </w:r>
      <w:r w:rsidR="00666896">
        <w:rPr>
          <w:sz w:val="24"/>
          <w:szCs w:val="24"/>
        </w:rPr>
        <w:t xml:space="preserve">see </w:t>
      </w:r>
      <w:r w:rsidR="00EF3E22">
        <w:rPr>
          <w:sz w:val="24"/>
          <w:szCs w:val="24"/>
        </w:rPr>
        <w:t xml:space="preserve">Table 1). </w:t>
      </w:r>
      <w:r w:rsidR="007C28C0">
        <w:rPr>
          <w:sz w:val="24"/>
          <w:szCs w:val="24"/>
        </w:rPr>
        <w:t>The inventory includes a detailed analysis of changes in fuel, electricity, and natural gas use and associated emissions.  Since electricity use is a large contributor to emissions, changes in how electricity is generated</w:t>
      </w:r>
      <w:r w:rsidR="00B773A2">
        <w:rPr>
          <w:sz w:val="24"/>
          <w:szCs w:val="24"/>
        </w:rPr>
        <w:t xml:space="preserve"> on a regional scale</w:t>
      </w:r>
      <w:r w:rsidR="007C28C0">
        <w:rPr>
          <w:sz w:val="24"/>
          <w:szCs w:val="24"/>
        </w:rPr>
        <w:t xml:space="preserve"> during the past decade have resulted in notable reductions in </w:t>
      </w:r>
      <w:r w:rsidR="00B773A2">
        <w:rPr>
          <w:sz w:val="24"/>
          <w:szCs w:val="24"/>
        </w:rPr>
        <w:t xml:space="preserve">estimates of </w:t>
      </w:r>
      <w:r w:rsidR="007C28C0">
        <w:rPr>
          <w:sz w:val="24"/>
          <w:szCs w:val="24"/>
        </w:rPr>
        <w:t>the Town’s emissions.</w:t>
      </w:r>
    </w:p>
    <w:p w14:paraId="796D7B40" w14:textId="77777777" w:rsidR="00716DCB" w:rsidRDefault="00716DCB" w:rsidP="0080266D">
      <w:pPr>
        <w:tabs>
          <w:tab w:val="left" w:pos="9000"/>
        </w:tabs>
        <w:rPr>
          <w:b/>
          <w:sz w:val="24"/>
          <w:szCs w:val="24"/>
          <w:u w:val="single"/>
        </w:rPr>
      </w:pPr>
    </w:p>
    <w:p w14:paraId="57F95920" w14:textId="77777777" w:rsidR="008B43AB" w:rsidRDefault="008B43AB" w:rsidP="0080266D">
      <w:pPr>
        <w:tabs>
          <w:tab w:val="left" w:pos="9000"/>
        </w:tabs>
        <w:rPr>
          <w:b/>
          <w:sz w:val="24"/>
          <w:szCs w:val="24"/>
          <w:u w:val="single"/>
        </w:rPr>
      </w:pPr>
      <w:r w:rsidRPr="003E756C">
        <w:rPr>
          <w:b/>
          <w:sz w:val="24"/>
          <w:szCs w:val="24"/>
          <w:u w:val="single"/>
        </w:rPr>
        <w:t>Information</w:t>
      </w:r>
    </w:p>
    <w:p w14:paraId="13DD0CE6" w14:textId="77777777" w:rsidR="008B43AB" w:rsidRDefault="008B43AB" w:rsidP="0080266D">
      <w:pPr>
        <w:tabs>
          <w:tab w:val="left" w:pos="9000"/>
        </w:tabs>
        <w:rPr>
          <w:sz w:val="24"/>
          <w:szCs w:val="24"/>
          <w:u w:val="single"/>
        </w:rPr>
      </w:pPr>
    </w:p>
    <w:p w14:paraId="22449917" w14:textId="77777777" w:rsidR="008B43AB" w:rsidRPr="0080266D" w:rsidRDefault="008B43AB" w:rsidP="0080266D">
      <w:pPr>
        <w:tabs>
          <w:tab w:val="left" w:pos="9000"/>
        </w:tabs>
        <w:rPr>
          <w:i/>
          <w:sz w:val="24"/>
          <w:szCs w:val="24"/>
        </w:rPr>
      </w:pPr>
      <w:r w:rsidRPr="0080266D">
        <w:rPr>
          <w:i/>
          <w:sz w:val="24"/>
          <w:szCs w:val="24"/>
        </w:rPr>
        <w:t>Data Collection</w:t>
      </w:r>
    </w:p>
    <w:p w14:paraId="3CB1D069" w14:textId="77777777" w:rsidR="008B43AB" w:rsidRDefault="008B43AB" w:rsidP="0080266D">
      <w:pPr>
        <w:tabs>
          <w:tab w:val="left" w:pos="9000"/>
        </w:tabs>
        <w:rPr>
          <w:b/>
          <w:sz w:val="24"/>
          <w:szCs w:val="24"/>
          <w:u w:val="single"/>
        </w:rPr>
      </w:pPr>
    </w:p>
    <w:p w14:paraId="0BC60C30" w14:textId="749EFB65" w:rsidR="00024DEA" w:rsidRDefault="008B43AB" w:rsidP="0080266D">
      <w:pPr>
        <w:tabs>
          <w:tab w:val="left" w:pos="9000"/>
        </w:tabs>
        <w:rPr>
          <w:sz w:val="24"/>
          <w:szCs w:val="24"/>
        </w:rPr>
      </w:pPr>
      <w:r>
        <w:rPr>
          <w:sz w:val="24"/>
          <w:szCs w:val="24"/>
        </w:rPr>
        <w:t xml:space="preserve">In putting together previous GHG emissions reports, an emphasis </w:t>
      </w:r>
      <w:r w:rsidR="00CB0D8F">
        <w:rPr>
          <w:sz w:val="24"/>
          <w:szCs w:val="24"/>
        </w:rPr>
        <w:t>h</w:t>
      </w:r>
      <w:r>
        <w:rPr>
          <w:sz w:val="24"/>
          <w:szCs w:val="24"/>
        </w:rPr>
        <w:t xml:space="preserve">as </w:t>
      </w:r>
      <w:r w:rsidR="00CB0D8F">
        <w:rPr>
          <w:sz w:val="24"/>
          <w:szCs w:val="24"/>
        </w:rPr>
        <w:t xml:space="preserve">been </w:t>
      </w:r>
      <w:r>
        <w:rPr>
          <w:sz w:val="24"/>
          <w:szCs w:val="24"/>
        </w:rPr>
        <w:t>placed on clarity of scope, accessibility and transparency of both energy consumption and GHG emissions data, and repeatability of the methodology. That emphasis has allowed this update to be completed with the exact same methodology as the</w:t>
      </w:r>
      <w:r w:rsidR="00C72761">
        <w:rPr>
          <w:sz w:val="24"/>
          <w:szCs w:val="24"/>
        </w:rPr>
        <w:t xml:space="preserve"> </w:t>
      </w:r>
      <w:r w:rsidR="0016798C">
        <w:rPr>
          <w:sz w:val="24"/>
          <w:szCs w:val="24"/>
        </w:rPr>
        <w:t>five</w:t>
      </w:r>
      <w:r w:rsidR="00C72761">
        <w:rPr>
          <w:sz w:val="24"/>
          <w:szCs w:val="24"/>
        </w:rPr>
        <w:t xml:space="preserve"> </w:t>
      </w:r>
      <w:r w:rsidR="00415100">
        <w:rPr>
          <w:sz w:val="24"/>
          <w:szCs w:val="24"/>
        </w:rPr>
        <w:t>previous updates</w:t>
      </w:r>
      <w:r>
        <w:rPr>
          <w:sz w:val="24"/>
          <w:szCs w:val="24"/>
        </w:rPr>
        <w:t>, which allows for the most accurate comparison of data and t</w:t>
      </w:r>
      <w:r w:rsidR="00CB20ED">
        <w:rPr>
          <w:sz w:val="24"/>
          <w:szCs w:val="24"/>
        </w:rPr>
        <w:t>racking of emissions over time.</w:t>
      </w:r>
    </w:p>
    <w:p w14:paraId="121F52F2" w14:textId="77777777" w:rsidR="009237CF" w:rsidRDefault="009237CF" w:rsidP="0080266D">
      <w:pPr>
        <w:tabs>
          <w:tab w:val="left" w:pos="9000"/>
        </w:tabs>
        <w:rPr>
          <w:sz w:val="24"/>
          <w:szCs w:val="24"/>
        </w:rPr>
      </w:pPr>
    </w:p>
    <w:p w14:paraId="1AC54FCA" w14:textId="16C202CB" w:rsidR="00EF3E22" w:rsidRPr="0053157C" w:rsidRDefault="006D2571" w:rsidP="0080266D">
      <w:pPr>
        <w:tabs>
          <w:tab w:val="left" w:pos="9000"/>
        </w:tabs>
        <w:jc w:val="center"/>
        <w:rPr>
          <w:b/>
          <w:sz w:val="24"/>
          <w:szCs w:val="24"/>
        </w:rPr>
      </w:pPr>
      <w:r>
        <w:rPr>
          <w:b/>
          <w:sz w:val="24"/>
          <w:szCs w:val="24"/>
        </w:rPr>
        <w:t>Table 1.</w:t>
      </w:r>
      <w:r w:rsidR="00EF3E22" w:rsidRPr="0053157C">
        <w:rPr>
          <w:b/>
          <w:sz w:val="24"/>
          <w:szCs w:val="24"/>
        </w:rPr>
        <w:t xml:space="preserve"> Cities for Climate Protection Five Milestone Process</w:t>
      </w:r>
    </w:p>
    <w:tbl>
      <w:tblPr>
        <w:tblStyle w:val="TableGrid"/>
        <w:tblW w:w="0" w:type="auto"/>
        <w:tblLook w:val="04A0" w:firstRow="1" w:lastRow="0" w:firstColumn="1" w:lastColumn="0" w:noHBand="0" w:noVBand="1"/>
      </w:tblPr>
      <w:tblGrid>
        <w:gridCol w:w="1170"/>
        <w:gridCol w:w="2268"/>
        <w:gridCol w:w="6138"/>
      </w:tblGrid>
      <w:tr w:rsidR="001E17BF" w14:paraId="2837F8AC" w14:textId="77777777" w:rsidTr="00EF3E22">
        <w:tc>
          <w:tcPr>
            <w:tcW w:w="1170" w:type="dxa"/>
          </w:tcPr>
          <w:p w14:paraId="1E92C423" w14:textId="77777777" w:rsidR="00EF3E22" w:rsidRPr="0053157C" w:rsidRDefault="00EF3E22" w:rsidP="0080266D">
            <w:pPr>
              <w:tabs>
                <w:tab w:val="left" w:pos="9000"/>
              </w:tabs>
              <w:rPr>
                <w:b/>
                <w:sz w:val="22"/>
                <w:szCs w:val="22"/>
              </w:rPr>
            </w:pPr>
            <w:r w:rsidRPr="0053157C">
              <w:rPr>
                <w:b/>
                <w:sz w:val="22"/>
                <w:szCs w:val="22"/>
              </w:rPr>
              <w:t>Milestone</w:t>
            </w:r>
          </w:p>
        </w:tc>
        <w:tc>
          <w:tcPr>
            <w:tcW w:w="2268" w:type="dxa"/>
          </w:tcPr>
          <w:p w14:paraId="7F7B3EB0" w14:textId="77777777" w:rsidR="00EF3E22" w:rsidRPr="0053157C" w:rsidRDefault="00EF3E22" w:rsidP="0080266D">
            <w:pPr>
              <w:tabs>
                <w:tab w:val="left" w:pos="9000"/>
              </w:tabs>
              <w:rPr>
                <w:b/>
                <w:sz w:val="22"/>
                <w:szCs w:val="22"/>
              </w:rPr>
            </w:pPr>
            <w:r w:rsidRPr="0053157C">
              <w:rPr>
                <w:b/>
                <w:sz w:val="22"/>
                <w:szCs w:val="22"/>
              </w:rPr>
              <w:t>Description</w:t>
            </w:r>
          </w:p>
        </w:tc>
        <w:tc>
          <w:tcPr>
            <w:tcW w:w="6138" w:type="dxa"/>
          </w:tcPr>
          <w:p w14:paraId="3620ED2F" w14:textId="77777777" w:rsidR="00EF3E22" w:rsidRPr="0053157C" w:rsidRDefault="00EF3E22" w:rsidP="0080266D">
            <w:pPr>
              <w:tabs>
                <w:tab w:val="left" w:pos="9000"/>
              </w:tabs>
              <w:rPr>
                <w:b/>
                <w:sz w:val="22"/>
                <w:szCs w:val="22"/>
              </w:rPr>
            </w:pPr>
            <w:r w:rsidRPr="0053157C">
              <w:rPr>
                <w:b/>
                <w:sz w:val="22"/>
                <w:szCs w:val="22"/>
              </w:rPr>
              <w:t>Notes</w:t>
            </w:r>
          </w:p>
        </w:tc>
      </w:tr>
      <w:tr w:rsidR="001E17BF" w14:paraId="4F78DCE8" w14:textId="77777777" w:rsidTr="00EF3E22">
        <w:tc>
          <w:tcPr>
            <w:tcW w:w="1170" w:type="dxa"/>
          </w:tcPr>
          <w:p w14:paraId="064B94BC" w14:textId="77777777" w:rsidR="00EF3E22" w:rsidRPr="0053157C" w:rsidRDefault="00EF3E22" w:rsidP="0080266D">
            <w:pPr>
              <w:tabs>
                <w:tab w:val="left" w:pos="9000"/>
              </w:tabs>
              <w:rPr>
                <w:sz w:val="22"/>
                <w:szCs w:val="22"/>
              </w:rPr>
            </w:pPr>
            <w:r w:rsidRPr="0053157C">
              <w:rPr>
                <w:sz w:val="22"/>
                <w:szCs w:val="22"/>
              </w:rPr>
              <w:t>1</w:t>
            </w:r>
          </w:p>
        </w:tc>
        <w:tc>
          <w:tcPr>
            <w:tcW w:w="2268" w:type="dxa"/>
          </w:tcPr>
          <w:p w14:paraId="1C95B742" w14:textId="51F28884" w:rsidR="00EF3E22" w:rsidRPr="0053157C" w:rsidRDefault="00EF3E22" w:rsidP="0080266D">
            <w:pPr>
              <w:tabs>
                <w:tab w:val="left" w:pos="9000"/>
              </w:tabs>
              <w:rPr>
                <w:sz w:val="22"/>
                <w:szCs w:val="22"/>
              </w:rPr>
            </w:pPr>
            <w:r w:rsidRPr="0053157C">
              <w:rPr>
                <w:sz w:val="22"/>
                <w:szCs w:val="22"/>
              </w:rPr>
              <w:t>Conduct a baseline emissions inventory and forecast</w:t>
            </w:r>
          </w:p>
        </w:tc>
        <w:tc>
          <w:tcPr>
            <w:tcW w:w="6138" w:type="dxa"/>
          </w:tcPr>
          <w:p w14:paraId="349BA346" w14:textId="70C6DB5C" w:rsidR="009237CF" w:rsidRDefault="0016798C" w:rsidP="00B42C20">
            <w:pPr>
              <w:tabs>
                <w:tab w:val="left" w:pos="9000"/>
              </w:tabs>
              <w:rPr>
                <w:sz w:val="22"/>
                <w:szCs w:val="22"/>
              </w:rPr>
            </w:pPr>
            <w:r>
              <w:rPr>
                <w:sz w:val="22"/>
                <w:szCs w:val="22"/>
              </w:rPr>
              <w:t xml:space="preserve">The </w:t>
            </w:r>
            <w:r w:rsidR="0031042D">
              <w:rPr>
                <w:sz w:val="22"/>
                <w:szCs w:val="22"/>
              </w:rPr>
              <w:t xml:space="preserve">most </w:t>
            </w:r>
            <w:r w:rsidR="00802FA4">
              <w:rPr>
                <w:sz w:val="22"/>
                <w:szCs w:val="22"/>
              </w:rPr>
              <w:t>recent</w:t>
            </w:r>
            <w:r w:rsidR="00802FA4" w:rsidRPr="006345D9">
              <w:rPr>
                <w:sz w:val="22"/>
                <w:szCs w:val="22"/>
              </w:rPr>
              <w:t xml:space="preserve"> municipal</w:t>
            </w:r>
            <w:r w:rsidR="004D3369" w:rsidRPr="006345D9">
              <w:rPr>
                <w:sz w:val="22"/>
                <w:szCs w:val="22"/>
              </w:rPr>
              <w:t xml:space="preserve"> operations </w:t>
            </w:r>
            <w:r w:rsidR="0055061A" w:rsidRPr="006345D9">
              <w:rPr>
                <w:sz w:val="22"/>
                <w:szCs w:val="22"/>
              </w:rPr>
              <w:t>inventory can be found a</w:t>
            </w:r>
            <w:r w:rsidR="0055061A" w:rsidRPr="00C72761">
              <w:rPr>
                <w:sz w:val="22"/>
                <w:szCs w:val="22"/>
              </w:rPr>
              <w:t>t</w:t>
            </w:r>
            <w:r w:rsidR="009237CF">
              <w:rPr>
                <w:sz w:val="22"/>
                <w:szCs w:val="22"/>
              </w:rPr>
              <w:t xml:space="preserve"> </w:t>
            </w:r>
            <w:r w:rsidR="009237CF" w:rsidRPr="009237CF">
              <w:rPr>
                <w:rStyle w:val="Hyperlink"/>
                <w:color w:val="auto"/>
                <w:sz w:val="22"/>
                <w:szCs w:val="22"/>
                <w:u w:val="none"/>
              </w:rPr>
              <w:t>http://nc-carrboro.civicplus.com/DocumentCenter/Home/View/4624</w:t>
            </w:r>
            <w:r w:rsidR="00C72761" w:rsidRPr="00C72761">
              <w:rPr>
                <w:sz w:val="22"/>
                <w:szCs w:val="22"/>
              </w:rPr>
              <w:t xml:space="preserve">. </w:t>
            </w:r>
          </w:p>
          <w:p w14:paraId="36A412FA" w14:textId="5FAB6DC5" w:rsidR="0055061A" w:rsidRPr="0053157C" w:rsidRDefault="0055061A" w:rsidP="00B42C20">
            <w:pPr>
              <w:tabs>
                <w:tab w:val="left" w:pos="9000"/>
              </w:tabs>
              <w:rPr>
                <w:sz w:val="22"/>
                <w:szCs w:val="22"/>
              </w:rPr>
            </w:pPr>
            <w:r w:rsidRPr="00C72761">
              <w:rPr>
                <w:sz w:val="22"/>
                <w:szCs w:val="22"/>
              </w:rPr>
              <w:t>The information contained in this memo serves as an update to that report.</w:t>
            </w:r>
            <w:r w:rsidR="004D3369" w:rsidRPr="00C72761">
              <w:rPr>
                <w:sz w:val="22"/>
                <w:szCs w:val="22"/>
              </w:rPr>
              <w:t xml:space="preserve"> The most recent community inventory can be found at</w:t>
            </w:r>
            <w:r w:rsidR="009237CF">
              <w:rPr>
                <w:sz w:val="22"/>
                <w:szCs w:val="22"/>
              </w:rPr>
              <w:t xml:space="preserve"> </w:t>
            </w:r>
            <w:r w:rsidR="00C72761" w:rsidRPr="009237CF">
              <w:rPr>
                <w:sz w:val="22"/>
                <w:szCs w:val="22"/>
              </w:rPr>
              <w:t>http://nc-carrboro.civicplus.com/DocumentCenter/Home/View/2788</w:t>
            </w:r>
            <w:r w:rsidR="00C72761" w:rsidRPr="00C72761">
              <w:rPr>
                <w:sz w:val="22"/>
                <w:szCs w:val="22"/>
              </w:rPr>
              <w:t xml:space="preserve">. </w:t>
            </w:r>
          </w:p>
        </w:tc>
      </w:tr>
      <w:tr w:rsidR="001E17BF" w14:paraId="6A720EBD" w14:textId="77777777" w:rsidTr="00EF3E22">
        <w:tc>
          <w:tcPr>
            <w:tcW w:w="1170" w:type="dxa"/>
          </w:tcPr>
          <w:p w14:paraId="6ABF932F" w14:textId="1BDBB16D" w:rsidR="00EF3E22" w:rsidRPr="0053157C" w:rsidRDefault="00EF3E22" w:rsidP="0080266D">
            <w:pPr>
              <w:tabs>
                <w:tab w:val="left" w:pos="9000"/>
              </w:tabs>
              <w:rPr>
                <w:sz w:val="22"/>
                <w:szCs w:val="22"/>
              </w:rPr>
            </w:pPr>
            <w:r w:rsidRPr="0053157C">
              <w:rPr>
                <w:sz w:val="22"/>
                <w:szCs w:val="22"/>
              </w:rPr>
              <w:t>2</w:t>
            </w:r>
          </w:p>
        </w:tc>
        <w:tc>
          <w:tcPr>
            <w:tcW w:w="2268" w:type="dxa"/>
          </w:tcPr>
          <w:p w14:paraId="527E6949" w14:textId="606C00E0" w:rsidR="00EF3E22" w:rsidRPr="0053157C" w:rsidRDefault="00EF3E22" w:rsidP="0080266D">
            <w:pPr>
              <w:tabs>
                <w:tab w:val="left" w:pos="9000"/>
              </w:tabs>
              <w:rPr>
                <w:sz w:val="22"/>
                <w:szCs w:val="22"/>
              </w:rPr>
            </w:pPr>
            <w:r w:rsidRPr="0053157C">
              <w:rPr>
                <w:sz w:val="22"/>
                <w:szCs w:val="22"/>
              </w:rPr>
              <w:t>Adopt an emissions reduction targ</w:t>
            </w:r>
            <w:r w:rsidR="00F7519F">
              <w:rPr>
                <w:sz w:val="22"/>
                <w:szCs w:val="22"/>
              </w:rPr>
              <w:t>et</w:t>
            </w:r>
          </w:p>
        </w:tc>
        <w:tc>
          <w:tcPr>
            <w:tcW w:w="6138" w:type="dxa"/>
          </w:tcPr>
          <w:p w14:paraId="5699EEFC" w14:textId="5C267418" w:rsidR="00EF3E22" w:rsidRPr="0053157C" w:rsidRDefault="00EF3E22" w:rsidP="000C7934">
            <w:pPr>
              <w:tabs>
                <w:tab w:val="left" w:pos="9000"/>
              </w:tabs>
              <w:rPr>
                <w:sz w:val="22"/>
                <w:szCs w:val="22"/>
              </w:rPr>
            </w:pPr>
            <w:r w:rsidRPr="0053157C">
              <w:rPr>
                <w:sz w:val="22"/>
                <w:szCs w:val="22"/>
              </w:rPr>
              <w:t xml:space="preserve">Carrboro adopted </w:t>
            </w:r>
            <w:r w:rsidR="000C7934">
              <w:rPr>
                <w:sz w:val="22"/>
                <w:szCs w:val="22"/>
              </w:rPr>
              <w:t>the</w:t>
            </w:r>
            <w:r w:rsidRPr="0053157C">
              <w:rPr>
                <w:sz w:val="22"/>
                <w:szCs w:val="22"/>
              </w:rPr>
              <w:t xml:space="preserve"> climate protection resolution in 2009</w:t>
            </w:r>
            <w:r w:rsidR="000C7934">
              <w:rPr>
                <w:sz w:val="22"/>
                <w:szCs w:val="22"/>
              </w:rPr>
              <w:t>. The 2017 Community Climate Action Plan adopted an emissions reduction target of 50% by 2025</w:t>
            </w:r>
            <w:r w:rsidRPr="0053157C">
              <w:rPr>
                <w:sz w:val="22"/>
                <w:szCs w:val="22"/>
              </w:rPr>
              <w:t>.</w:t>
            </w:r>
          </w:p>
        </w:tc>
      </w:tr>
      <w:tr w:rsidR="001E17BF" w14:paraId="382ECEA5" w14:textId="77777777" w:rsidTr="00EF3E22">
        <w:tc>
          <w:tcPr>
            <w:tcW w:w="1170" w:type="dxa"/>
          </w:tcPr>
          <w:p w14:paraId="34AC56A8" w14:textId="77777777" w:rsidR="00EF3E22" w:rsidRPr="0053157C" w:rsidRDefault="00EF3E22" w:rsidP="0080266D">
            <w:pPr>
              <w:tabs>
                <w:tab w:val="left" w:pos="9000"/>
              </w:tabs>
              <w:rPr>
                <w:sz w:val="22"/>
                <w:szCs w:val="22"/>
              </w:rPr>
            </w:pPr>
            <w:r w:rsidRPr="0053157C">
              <w:rPr>
                <w:sz w:val="22"/>
                <w:szCs w:val="22"/>
              </w:rPr>
              <w:t>3</w:t>
            </w:r>
          </w:p>
        </w:tc>
        <w:tc>
          <w:tcPr>
            <w:tcW w:w="2268" w:type="dxa"/>
          </w:tcPr>
          <w:p w14:paraId="52853762" w14:textId="77777777" w:rsidR="00EF3E22" w:rsidRPr="0053157C" w:rsidRDefault="00EF3E22" w:rsidP="0080266D">
            <w:pPr>
              <w:tabs>
                <w:tab w:val="left" w:pos="9000"/>
              </w:tabs>
              <w:rPr>
                <w:sz w:val="22"/>
                <w:szCs w:val="22"/>
              </w:rPr>
            </w:pPr>
            <w:r w:rsidRPr="0053157C">
              <w:rPr>
                <w:sz w:val="22"/>
                <w:szCs w:val="22"/>
              </w:rPr>
              <w:t>Develop a Local Action Plan</w:t>
            </w:r>
          </w:p>
        </w:tc>
        <w:tc>
          <w:tcPr>
            <w:tcW w:w="6138" w:type="dxa"/>
          </w:tcPr>
          <w:p w14:paraId="5BAA87F6" w14:textId="509CE345" w:rsidR="00EF3E22" w:rsidRPr="00E70A72" w:rsidRDefault="00435F11" w:rsidP="00B773A2">
            <w:pPr>
              <w:tabs>
                <w:tab w:val="left" w:pos="9000"/>
              </w:tabs>
              <w:rPr>
                <w:sz w:val="22"/>
                <w:szCs w:val="22"/>
              </w:rPr>
            </w:pPr>
            <w:r w:rsidRPr="004D3369">
              <w:rPr>
                <w:sz w:val="22"/>
                <w:szCs w:val="22"/>
              </w:rPr>
              <w:t xml:space="preserve">A countywide inventory that included elements of a plan was previously developed.  </w:t>
            </w:r>
            <w:r w:rsidR="00EF3E22" w:rsidRPr="006345D9">
              <w:rPr>
                <w:sz w:val="22"/>
                <w:szCs w:val="22"/>
              </w:rPr>
              <w:t xml:space="preserve">Carrboro </w:t>
            </w:r>
            <w:r w:rsidRPr="006345D9">
              <w:rPr>
                <w:sz w:val="22"/>
                <w:szCs w:val="22"/>
              </w:rPr>
              <w:t xml:space="preserve">drafted an Energy and Climate Protection Plan </w:t>
            </w:r>
            <w:r w:rsidR="004D3369" w:rsidRPr="006345D9">
              <w:rPr>
                <w:sz w:val="22"/>
                <w:szCs w:val="22"/>
              </w:rPr>
              <w:t>for municipal operations in 2014.</w:t>
            </w:r>
            <w:r w:rsidR="009237CF">
              <w:rPr>
                <w:sz w:val="22"/>
                <w:szCs w:val="22"/>
              </w:rPr>
              <w:t xml:space="preserve"> </w:t>
            </w:r>
            <w:r w:rsidR="000C7934">
              <w:rPr>
                <w:sz w:val="22"/>
                <w:szCs w:val="22"/>
              </w:rPr>
              <w:t>A Community Climate Action Plan was completed in January 2017</w:t>
            </w:r>
            <w:r w:rsidR="00AC12F0" w:rsidRPr="006345D9">
              <w:rPr>
                <w:sz w:val="22"/>
                <w:szCs w:val="22"/>
              </w:rPr>
              <w:t>.</w:t>
            </w:r>
            <w:r w:rsidR="00AC12F0" w:rsidRPr="004D3369">
              <w:rPr>
                <w:sz w:val="22"/>
                <w:szCs w:val="22"/>
              </w:rPr>
              <w:t xml:space="preserve"> </w:t>
            </w:r>
          </w:p>
        </w:tc>
      </w:tr>
      <w:tr w:rsidR="001E17BF" w14:paraId="7412B617" w14:textId="77777777" w:rsidTr="00EF3E22">
        <w:tc>
          <w:tcPr>
            <w:tcW w:w="1170" w:type="dxa"/>
          </w:tcPr>
          <w:p w14:paraId="76BA6774" w14:textId="77777777" w:rsidR="00EF3E22" w:rsidRPr="0053157C" w:rsidRDefault="00EF3E22" w:rsidP="0080266D">
            <w:pPr>
              <w:tabs>
                <w:tab w:val="left" w:pos="9000"/>
              </w:tabs>
              <w:rPr>
                <w:sz w:val="22"/>
                <w:szCs w:val="22"/>
              </w:rPr>
            </w:pPr>
            <w:r w:rsidRPr="0053157C">
              <w:rPr>
                <w:sz w:val="22"/>
                <w:szCs w:val="22"/>
              </w:rPr>
              <w:t>4</w:t>
            </w:r>
          </w:p>
        </w:tc>
        <w:tc>
          <w:tcPr>
            <w:tcW w:w="2268" w:type="dxa"/>
          </w:tcPr>
          <w:p w14:paraId="681FD356" w14:textId="77777777" w:rsidR="00EF3E22" w:rsidRPr="0053157C" w:rsidRDefault="00EF3E22" w:rsidP="0080266D">
            <w:pPr>
              <w:tabs>
                <w:tab w:val="left" w:pos="9000"/>
              </w:tabs>
              <w:rPr>
                <w:sz w:val="22"/>
                <w:szCs w:val="22"/>
              </w:rPr>
            </w:pPr>
            <w:r w:rsidRPr="0053157C">
              <w:rPr>
                <w:sz w:val="22"/>
                <w:szCs w:val="22"/>
              </w:rPr>
              <w:t>Implement policies and measures</w:t>
            </w:r>
          </w:p>
        </w:tc>
        <w:tc>
          <w:tcPr>
            <w:tcW w:w="6138" w:type="dxa"/>
          </w:tcPr>
          <w:p w14:paraId="27FB705F" w14:textId="2A6A71CF" w:rsidR="00EF3E22" w:rsidRPr="004D3369" w:rsidRDefault="00EF3E22" w:rsidP="0031042D">
            <w:pPr>
              <w:tabs>
                <w:tab w:val="left" w:pos="9000"/>
              </w:tabs>
              <w:rPr>
                <w:sz w:val="22"/>
                <w:szCs w:val="22"/>
              </w:rPr>
            </w:pPr>
            <w:r w:rsidRPr="004D3369">
              <w:rPr>
                <w:sz w:val="22"/>
                <w:szCs w:val="22"/>
              </w:rPr>
              <w:t>Carrboro has pursued various measures</w:t>
            </w:r>
            <w:r w:rsidR="004D3369" w:rsidRPr="006345D9">
              <w:rPr>
                <w:sz w:val="22"/>
                <w:szCs w:val="22"/>
              </w:rPr>
              <w:t xml:space="preserve"> described in the 2014 plan.</w:t>
            </w:r>
          </w:p>
        </w:tc>
      </w:tr>
      <w:tr w:rsidR="001E17BF" w14:paraId="29A64EFF" w14:textId="77777777" w:rsidTr="00EF3E22">
        <w:tc>
          <w:tcPr>
            <w:tcW w:w="1170" w:type="dxa"/>
          </w:tcPr>
          <w:p w14:paraId="0CE0786F" w14:textId="77777777" w:rsidR="00EF3E22" w:rsidRPr="0053157C" w:rsidRDefault="00EF3E22" w:rsidP="0080266D">
            <w:pPr>
              <w:tabs>
                <w:tab w:val="left" w:pos="9000"/>
              </w:tabs>
              <w:rPr>
                <w:sz w:val="22"/>
                <w:szCs w:val="22"/>
              </w:rPr>
            </w:pPr>
            <w:r w:rsidRPr="0053157C">
              <w:rPr>
                <w:sz w:val="22"/>
                <w:szCs w:val="22"/>
              </w:rPr>
              <w:t>5</w:t>
            </w:r>
          </w:p>
        </w:tc>
        <w:tc>
          <w:tcPr>
            <w:tcW w:w="2268" w:type="dxa"/>
          </w:tcPr>
          <w:p w14:paraId="1A78F957" w14:textId="77777777" w:rsidR="00EF3E22" w:rsidRPr="0053157C" w:rsidRDefault="00EF3E22" w:rsidP="0080266D">
            <w:pPr>
              <w:tabs>
                <w:tab w:val="left" w:pos="9000"/>
              </w:tabs>
              <w:rPr>
                <w:sz w:val="22"/>
                <w:szCs w:val="22"/>
              </w:rPr>
            </w:pPr>
            <w:r w:rsidRPr="0053157C">
              <w:rPr>
                <w:sz w:val="22"/>
                <w:szCs w:val="22"/>
              </w:rPr>
              <w:t>Monitor and verify results</w:t>
            </w:r>
          </w:p>
        </w:tc>
        <w:tc>
          <w:tcPr>
            <w:tcW w:w="6138" w:type="dxa"/>
          </w:tcPr>
          <w:p w14:paraId="2E024F3B" w14:textId="07C34D35" w:rsidR="00EF3E22" w:rsidRPr="004D3369" w:rsidRDefault="00FB38EB" w:rsidP="0080266D">
            <w:pPr>
              <w:tabs>
                <w:tab w:val="left" w:pos="9000"/>
              </w:tabs>
              <w:rPr>
                <w:sz w:val="22"/>
                <w:szCs w:val="22"/>
              </w:rPr>
            </w:pPr>
            <w:r w:rsidRPr="004D3369">
              <w:rPr>
                <w:sz w:val="22"/>
                <w:szCs w:val="22"/>
              </w:rPr>
              <w:t xml:space="preserve">This memo is the Town’s </w:t>
            </w:r>
            <w:r w:rsidR="00034710">
              <w:rPr>
                <w:sz w:val="22"/>
                <w:szCs w:val="22"/>
              </w:rPr>
              <w:t>sixth</w:t>
            </w:r>
            <w:r w:rsidR="00435F11" w:rsidRPr="004D3369">
              <w:rPr>
                <w:sz w:val="22"/>
                <w:szCs w:val="22"/>
              </w:rPr>
              <w:t xml:space="preserve"> </w:t>
            </w:r>
            <w:r w:rsidRPr="00E70A72">
              <w:rPr>
                <w:sz w:val="22"/>
                <w:szCs w:val="22"/>
              </w:rPr>
              <w:t xml:space="preserve">annual effort to monitor and verify the results of policies and procedures </w:t>
            </w:r>
            <w:r w:rsidR="00EC4C2F" w:rsidRPr="00F41649">
              <w:rPr>
                <w:sz w:val="22"/>
                <w:szCs w:val="22"/>
              </w:rPr>
              <w:t xml:space="preserve">implemented </w:t>
            </w:r>
            <w:r w:rsidR="00F7519F" w:rsidRPr="00F41649">
              <w:rPr>
                <w:sz w:val="22"/>
                <w:szCs w:val="22"/>
              </w:rPr>
              <w:t>to reduce</w:t>
            </w:r>
            <w:r w:rsidRPr="00BC06B4">
              <w:rPr>
                <w:sz w:val="22"/>
                <w:szCs w:val="22"/>
              </w:rPr>
              <w:t xml:space="preserve"> </w:t>
            </w:r>
            <w:r w:rsidR="004261E4" w:rsidRPr="004D3369">
              <w:rPr>
                <w:sz w:val="22"/>
                <w:szCs w:val="22"/>
              </w:rPr>
              <w:t>G</w:t>
            </w:r>
            <w:r w:rsidRPr="004D3369">
              <w:rPr>
                <w:sz w:val="22"/>
                <w:szCs w:val="22"/>
              </w:rPr>
              <w:t>HG emissions</w:t>
            </w:r>
            <w:r w:rsidR="00435F11" w:rsidRPr="004D3369">
              <w:rPr>
                <w:sz w:val="22"/>
                <w:szCs w:val="22"/>
              </w:rPr>
              <w:t xml:space="preserve"> from municipal operations</w:t>
            </w:r>
            <w:r w:rsidR="00EF3E22" w:rsidRPr="004D3369">
              <w:rPr>
                <w:sz w:val="22"/>
                <w:szCs w:val="22"/>
              </w:rPr>
              <w:t>.</w:t>
            </w:r>
          </w:p>
        </w:tc>
      </w:tr>
    </w:tbl>
    <w:p w14:paraId="0370A6D4" w14:textId="77777777" w:rsidR="0080266D" w:rsidRDefault="0080266D" w:rsidP="0080266D">
      <w:pPr>
        <w:tabs>
          <w:tab w:val="left" w:pos="9000"/>
        </w:tabs>
        <w:rPr>
          <w:sz w:val="24"/>
          <w:szCs w:val="24"/>
        </w:rPr>
      </w:pPr>
    </w:p>
    <w:p w14:paraId="37C7E23A" w14:textId="77777777" w:rsidR="00EF3E22" w:rsidRDefault="00EF3E22" w:rsidP="0080266D">
      <w:pPr>
        <w:tabs>
          <w:tab w:val="left" w:pos="9000"/>
        </w:tabs>
        <w:rPr>
          <w:sz w:val="24"/>
          <w:szCs w:val="24"/>
        </w:rPr>
      </w:pPr>
      <w:r>
        <w:rPr>
          <w:i/>
          <w:sz w:val="24"/>
          <w:szCs w:val="24"/>
        </w:rPr>
        <w:t>Scope</w:t>
      </w:r>
    </w:p>
    <w:p w14:paraId="0A3EA2AA" w14:textId="77777777" w:rsidR="00EF3E22" w:rsidRDefault="00EF3E22" w:rsidP="0080266D">
      <w:pPr>
        <w:tabs>
          <w:tab w:val="left" w:pos="9000"/>
        </w:tabs>
        <w:rPr>
          <w:sz w:val="24"/>
          <w:szCs w:val="24"/>
        </w:rPr>
      </w:pPr>
    </w:p>
    <w:p w14:paraId="350F82C2" w14:textId="393C66EF" w:rsidR="00C4103A" w:rsidRDefault="00C318DD" w:rsidP="0080266D">
      <w:pPr>
        <w:tabs>
          <w:tab w:val="left" w:pos="9000"/>
        </w:tabs>
        <w:rPr>
          <w:sz w:val="24"/>
          <w:szCs w:val="24"/>
        </w:rPr>
      </w:pPr>
      <w:r>
        <w:rPr>
          <w:sz w:val="24"/>
          <w:szCs w:val="24"/>
        </w:rPr>
        <w:t>For consistency with previous inventories</w:t>
      </w:r>
      <w:r w:rsidR="00800E74">
        <w:rPr>
          <w:sz w:val="24"/>
          <w:szCs w:val="24"/>
        </w:rPr>
        <w:t xml:space="preserve"> and </w:t>
      </w:r>
      <w:r w:rsidR="00EF3E22">
        <w:rPr>
          <w:sz w:val="24"/>
          <w:szCs w:val="24"/>
        </w:rPr>
        <w:t xml:space="preserve">per standard GHG inventory reporting protocols, this </w:t>
      </w:r>
      <w:r w:rsidR="00800E74">
        <w:rPr>
          <w:sz w:val="24"/>
          <w:szCs w:val="24"/>
        </w:rPr>
        <w:t>inventory</w:t>
      </w:r>
      <w:r w:rsidR="00EF3E22">
        <w:rPr>
          <w:sz w:val="24"/>
          <w:szCs w:val="24"/>
        </w:rPr>
        <w:t xml:space="preserve"> focuses only on the Scope 1 and Scope 2 </w:t>
      </w:r>
      <w:r w:rsidR="0080266D">
        <w:rPr>
          <w:sz w:val="24"/>
          <w:szCs w:val="24"/>
        </w:rPr>
        <w:t>GHG</w:t>
      </w:r>
      <w:r w:rsidR="00EF3E22">
        <w:rPr>
          <w:sz w:val="24"/>
          <w:szCs w:val="24"/>
        </w:rPr>
        <w:t xml:space="preserve"> emissions attributable to Town operations. Scope 1 emissions are direct emissions resulting from the combustion of fuel on-site. Examples of Scope 1 emissions include vehicular tailpipe emissions from Town vehicles and emissions from burning natural gas to heat Town facilities. Scope 2 emissions are indirect emissions associated with the consumption of purchased or acquired energy. Scope 2 emissions primarily result from the Town’s electricity consumption. As a general rule, emissions are </w:t>
      </w:r>
      <w:r w:rsidR="00EF3E22">
        <w:rPr>
          <w:sz w:val="24"/>
          <w:szCs w:val="24"/>
        </w:rPr>
        <w:lastRenderedPageBreak/>
        <w:t>attributable to the Town if they are emitted by an entity that the Town has full operational control over. By this definition, the scope of this inventory includes all electricity use billed to the Town for its facilities, street</w:t>
      </w:r>
      <w:r w:rsidR="00274A74">
        <w:rPr>
          <w:sz w:val="24"/>
          <w:szCs w:val="24"/>
        </w:rPr>
        <w:t xml:space="preserve"> lighting, and other outdoor </w:t>
      </w:r>
      <w:r w:rsidR="00EF3E22">
        <w:rPr>
          <w:sz w:val="24"/>
          <w:szCs w:val="24"/>
        </w:rPr>
        <w:t xml:space="preserve">lighting, as well as the fuel usage of the Town’s vehicle fleet and natural gas use in its facilities. This scope excludes any emissions from operations of the Orange Water and Sewer Authority (OWASA), Orange County Solid Waste (OCSW), </w:t>
      </w:r>
      <w:r w:rsidR="00B7124B">
        <w:rPr>
          <w:sz w:val="24"/>
          <w:szCs w:val="24"/>
        </w:rPr>
        <w:t xml:space="preserve">Chapel Hill-Carrboro City Schools (CHCCS) </w:t>
      </w:r>
      <w:r w:rsidR="00EF3E22">
        <w:rPr>
          <w:sz w:val="24"/>
          <w:szCs w:val="24"/>
        </w:rPr>
        <w:t>and Chapel Hill Transit (CHT), electricity usage attributable to traffic signals within Town limits, and other non-municipal activities. Wh</w:t>
      </w:r>
      <w:r w:rsidR="00B7124B">
        <w:rPr>
          <w:sz w:val="24"/>
          <w:szCs w:val="24"/>
        </w:rPr>
        <w:t>ile the actions related to</w:t>
      </w:r>
      <w:r w:rsidR="00EF3E22">
        <w:rPr>
          <w:sz w:val="24"/>
          <w:szCs w:val="24"/>
        </w:rPr>
        <w:t xml:space="preserve"> water treatment and delivery, waste processing, public transit, </w:t>
      </w:r>
      <w:r w:rsidR="00B7124B">
        <w:rPr>
          <w:sz w:val="24"/>
          <w:szCs w:val="24"/>
        </w:rPr>
        <w:t xml:space="preserve">schools, </w:t>
      </w:r>
      <w:r w:rsidR="00EF3E22">
        <w:rPr>
          <w:sz w:val="24"/>
          <w:szCs w:val="24"/>
        </w:rPr>
        <w:t>and traffic management are in the public sector and occur within Town limits, the emissions attributable to these services cannot be directly controlled by only the Town</w:t>
      </w:r>
      <w:r w:rsidR="00B7124B">
        <w:rPr>
          <w:sz w:val="24"/>
          <w:szCs w:val="24"/>
        </w:rPr>
        <w:t xml:space="preserve"> </w:t>
      </w:r>
      <w:r w:rsidR="00EF3E22">
        <w:rPr>
          <w:sz w:val="24"/>
          <w:szCs w:val="24"/>
        </w:rPr>
        <w:t>and are therefore outside the scope of this inve</w:t>
      </w:r>
      <w:r w:rsidR="000924DD">
        <w:rPr>
          <w:sz w:val="24"/>
          <w:szCs w:val="24"/>
        </w:rPr>
        <w:t xml:space="preserve">ntory. </w:t>
      </w:r>
    </w:p>
    <w:p w14:paraId="4AB1180C" w14:textId="77777777" w:rsidR="00C4103A" w:rsidRDefault="00C4103A" w:rsidP="0080266D">
      <w:pPr>
        <w:tabs>
          <w:tab w:val="left" w:pos="9000"/>
        </w:tabs>
        <w:rPr>
          <w:sz w:val="24"/>
          <w:szCs w:val="24"/>
        </w:rPr>
      </w:pPr>
    </w:p>
    <w:p w14:paraId="1DD7E599" w14:textId="463FD0F9" w:rsidR="00EF3E22" w:rsidRDefault="000924DD" w:rsidP="0080266D">
      <w:pPr>
        <w:tabs>
          <w:tab w:val="left" w:pos="9000"/>
        </w:tabs>
        <w:rPr>
          <w:sz w:val="24"/>
          <w:szCs w:val="24"/>
        </w:rPr>
      </w:pPr>
      <w:r>
        <w:rPr>
          <w:sz w:val="24"/>
          <w:szCs w:val="24"/>
        </w:rPr>
        <w:t xml:space="preserve">It is worth noting that the </w:t>
      </w:r>
      <w:r w:rsidR="00EF3E22">
        <w:rPr>
          <w:sz w:val="24"/>
          <w:szCs w:val="24"/>
        </w:rPr>
        <w:t xml:space="preserve">total </w:t>
      </w:r>
      <w:r>
        <w:rPr>
          <w:sz w:val="24"/>
          <w:szCs w:val="24"/>
        </w:rPr>
        <w:t>emissions</w:t>
      </w:r>
      <w:r w:rsidR="00EF3E22">
        <w:rPr>
          <w:sz w:val="24"/>
          <w:szCs w:val="24"/>
        </w:rPr>
        <w:t xml:space="preserve"> for</w:t>
      </w:r>
      <w:r w:rsidR="00800E74">
        <w:rPr>
          <w:sz w:val="24"/>
          <w:szCs w:val="24"/>
        </w:rPr>
        <w:t xml:space="preserve"> Carrboro</w:t>
      </w:r>
      <w:r w:rsidR="00415100">
        <w:rPr>
          <w:sz w:val="24"/>
          <w:szCs w:val="24"/>
        </w:rPr>
        <w:t>,</w:t>
      </w:r>
      <w:r w:rsidR="00800E74">
        <w:rPr>
          <w:sz w:val="24"/>
          <w:szCs w:val="24"/>
        </w:rPr>
        <w:t xml:space="preserve"> </w:t>
      </w:r>
      <w:r w:rsidR="00C4103A">
        <w:rPr>
          <w:sz w:val="24"/>
          <w:szCs w:val="24"/>
        </w:rPr>
        <w:t>from both municipal and community sources</w:t>
      </w:r>
      <w:r w:rsidR="00415100">
        <w:rPr>
          <w:sz w:val="24"/>
          <w:szCs w:val="24"/>
        </w:rPr>
        <w:t>,</w:t>
      </w:r>
      <w:r w:rsidR="00C4103A">
        <w:rPr>
          <w:sz w:val="24"/>
          <w:szCs w:val="24"/>
        </w:rPr>
        <w:t xml:space="preserve"> </w:t>
      </w:r>
      <w:r w:rsidR="002C6EB3">
        <w:rPr>
          <w:sz w:val="24"/>
          <w:szCs w:val="24"/>
        </w:rPr>
        <w:t>were</w:t>
      </w:r>
      <w:r w:rsidR="00800E74">
        <w:rPr>
          <w:sz w:val="24"/>
          <w:szCs w:val="24"/>
        </w:rPr>
        <w:t xml:space="preserve"> estimated </w:t>
      </w:r>
      <w:r w:rsidR="002C6EB3">
        <w:rPr>
          <w:sz w:val="24"/>
          <w:szCs w:val="24"/>
        </w:rPr>
        <w:t xml:space="preserve">by a student Capstone team from UNC – Chapel Hill in </w:t>
      </w:r>
      <w:r w:rsidR="00C4103A">
        <w:rPr>
          <w:sz w:val="24"/>
          <w:szCs w:val="24"/>
        </w:rPr>
        <w:t>spring</w:t>
      </w:r>
      <w:r w:rsidR="002C6EB3">
        <w:rPr>
          <w:sz w:val="24"/>
          <w:szCs w:val="24"/>
        </w:rPr>
        <w:t xml:space="preserve"> 2015 for the year 2012 </w:t>
      </w:r>
      <w:r w:rsidR="00837235">
        <w:rPr>
          <w:sz w:val="24"/>
          <w:szCs w:val="24"/>
        </w:rPr>
        <w:t>at nearly</w:t>
      </w:r>
      <w:r w:rsidR="002C6EB3">
        <w:rPr>
          <w:sz w:val="24"/>
          <w:szCs w:val="24"/>
        </w:rPr>
        <w:t xml:space="preserve"> 112</w:t>
      </w:r>
      <w:r w:rsidR="00800E74">
        <w:rPr>
          <w:sz w:val="24"/>
          <w:szCs w:val="24"/>
        </w:rPr>
        <w:t>,000 metric tonnes of ca</w:t>
      </w:r>
      <w:r>
        <w:rPr>
          <w:sz w:val="24"/>
          <w:szCs w:val="24"/>
        </w:rPr>
        <w:t xml:space="preserve">rbon dioxide equivalent </w:t>
      </w:r>
      <w:r w:rsidR="00C4103A">
        <w:rPr>
          <w:sz w:val="24"/>
          <w:szCs w:val="24"/>
        </w:rPr>
        <w:t>(MTCDE)</w:t>
      </w:r>
      <w:r w:rsidR="004D0F89">
        <w:rPr>
          <w:rStyle w:val="FootnoteReference"/>
          <w:sz w:val="24"/>
          <w:szCs w:val="24"/>
        </w:rPr>
        <w:footnoteReference w:id="1"/>
      </w:r>
      <w:r w:rsidR="00C4103A">
        <w:rPr>
          <w:sz w:val="24"/>
          <w:szCs w:val="24"/>
        </w:rPr>
        <w:t xml:space="preserve">. </w:t>
      </w:r>
      <w:r w:rsidR="00B36DB3">
        <w:rPr>
          <w:sz w:val="24"/>
          <w:szCs w:val="24"/>
        </w:rPr>
        <w:t>Th</w:t>
      </w:r>
      <w:r w:rsidR="00312A73">
        <w:rPr>
          <w:sz w:val="24"/>
          <w:szCs w:val="24"/>
        </w:rPr>
        <w:t>e UNC</w:t>
      </w:r>
      <w:r w:rsidR="00B36DB3">
        <w:rPr>
          <w:sz w:val="24"/>
          <w:szCs w:val="24"/>
        </w:rPr>
        <w:t xml:space="preserve"> report estimated that t</w:t>
      </w:r>
      <w:r w:rsidR="00C4103A">
        <w:rPr>
          <w:sz w:val="24"/>
          <w:szCs w:val="24"/>
        </w:rPr>
        <w:t xml:space="preserve">otal </w:t>
      </w:r>
      <w:r w:rsidR="002C6EB3">
        <w:rPr>
          <w:sz w:val="24"/>
          <w:szCs w:val="24"/>
        </w:rPr>
        <w:t>municipal emissions</w:t>
      </w:r>
      <w:r w:rsidR="00C4103A">
        <w:rPr>
          <w:sz w:val="24"/>
          <w:szCs w:val="24"/>
        </w:rPr>
        <w:t xml:space="preserve"> from all sectors, including those that are outside the scope of this inventory</w:t>
      </w:r>
      <w:r w:rsidR="00837235">
        <w:rPr>
          <w:sz w:val="24"/>
          <w:szCs w:val="24"/>
        </w:rPr>
        <w:t xml:space="preserve"> such as schools and public transit</w:t>
      </w:r>
      <w:r w:rsidR="00C4103A">
        <w:rPr>
          <w:sz w:val="24"/>
          <w:szCs w:val="24"/>
        </w:rPr>
        <w:t>, were 7,400 MTCDE.</w:t>
      </w:r>
      <w:r w:rsidR="002C6EB3">
        <w:rPr>
          <w:sz w:val="24"/>
          <w:szCs w:val="24"/>
        </w:rPr>
        <w:t xml:space="preserve"> </w:t>
      </w:r>
      <w:r w:rsidR="00C4103A">
        <w:rPr>
          <w:sz w:val="24"/>
          <w:szCs w:val="24"/>
        </w:rPr>
        <w:t xml:space="preserve">The emissions that fall under the scope of </w:t>
      </w:r>
      <w:r w:rsidR="002C6EB3">
        <w:rPr>
          <w:sz w:val="24"/>
          <w:szCs w:val="24"/>
        </w:rPr>
        <w:t>this inventory a</w:t>
      </w:r>
      <w:r w:rsidR="00650770">
        <w:rPr>
          <w:sz w:val="24"/>
          <w:szCs w:val="24"/>
        </w:rPr>
        <w:t xml:space="preserve">re </w:t>
      </w:r>
      <w:r w:rsidR="00837235">
        <w:rPr>
          <w:sz w:val="24"/>
          <w:szCs w:val="24"/>
        </w:rPr>
        <w:t>roughly 1,</w:t>
      </w:r>
      <w:r w:rsidR="009237CF">
        <w:rPr>
          <w:sz w:val="24"/>
          <w:szCs w:val="24"/>
        </w:rPr>
        <w:t>7</w:t>
      </w:r>
      <w:r w:rsidR="00A4526F">
        <w:rPr>
          <w:sz w:val="24"/>
          <w:szCs w:val="24"/>
        </w:rPr>
        <w:t>00</w:t>
      </w:r>
      <w:r w:rsidR="00EF3E22">
        <w:rPr>
          <w:sz w:val="24"/>
          <w:szCs w:val="24"/>
        </w:rPr>
        <w:t xml:space="preserve"> MTCDE</w:t>
      </w:r>
      <w:r w:rsidR="00C4103A">
        <w:rPr>
          <w:sz w:val="24"/>
          <w:szCs w:val="24"/>
        </w:rPr>
        <w:t>, meaning that</w:t>
      </w:r>
      <w:r w:rsidR="00837235">
        <w:rPr>
          <w:sz w:val="24"/>
          <w:szCs w:val="24"/>
        </w:rPr>
        <w:t xml:space="preserve"> this analysis deals with approximately 25% of all municipal emissions and </w:t>
      </w:r>
      <w:r>
        <w:rPr>
          <w:sz w:val="24"/>
          <w:szCs w:val="24"/>
        </w:rPr>
        <w:t xml:space="preserve">less than 2% of the total emissions coming from Carrboro. </w:t>
      </w:r>
      <w:r w:rsidR="00EF3E22">
        <w:rPr>
          <w:sz w:val="24"/>
          <w:szCs w:val="24"/>
        </w:rPr>
        <w:t xml:space="preserve">Therefore, the Town’s effort in cooperating with other private and public entities is paramount to appreciable local reductions. </w:t>
      </w:r>
    </w:p>
    <w:p w14:paraId="4CA19B3D" w14:textId="77777777" w:rsidR="0080266D" w:rsidRDefault="0080266D" w:rsidP="0080266D">
      <w:pPr>
        <w:tabs>
          <w:tab w:val="left" w:pos="9000"/>
        </w:tabs>
        <w:rPr>
          <w:sz w:val="24"/>
          <w:szCs w:val="24"/>
        </w:rPr>
      </w:pPr>
    </w:p>
    <w:p w14:paraId="6DE7C1B7" w14:textId="77777777" w:rsidR="00EF3E22" w:rsidRDefault="00EF3E22" w:rsidP="0080266D">
      <w:pPr>
        <w:tabs>
          <w:tab w:val="left" w:pos="9000"/>
        </w:tabs>
        <w:rPr>
          <w:sz w:val="24"/>
          <w:szCs w:val="24"/>
        </w:rPr>
      </w:pPr>
      <w:r>
        <w:rPr>
          <w:i/>
          <w:sz w:val="24"/>
          <w:szCs w:val="24"/>
        </w:rPr>
        <w:t>GHG Accounting Methodology</w:t>
      </w:r>
    </w:p>
    <w:p w14:paraId="6EFF754D" w14:textId="77777777" w:rsidR="00EF3E22" w:rsidRDefault="00EF3E22" w:rsidP="0080266D">
      <w:pPr>
        <w:tabs>
          <w:tab w:val="left" w:pos="9000"/>
        </w:tabs>
        <w:rPr>
          <w:sz w:val="24"/>
          <w:szCs w:val="24"/>
          <w:u w:val="single"/>
        </w:rPr>
      </w:pPr>
    </w:p>
    <w:p w14:paraId="42B7DC69" w14:textId="16A4C7FD" w:rsidR="007C4659" w:rsidRPr="001135CA" w:rsidRDefault="00EF3E22" w:rsidP="0080266D">
      <w:pPr>
        <w:tabs>
          <w:tab w:val="left" w:pos="9000"/>
        </w:tabs>
        <w:rPr>
          <w:sz w:val="24"/>
          <w:szCs w:val="24"/>
        </w:rPr>
      </w:pPr>
      <w:r>
        <w:rPr>
          <w:sz w:val="24"/>
          <w:szCs w:val="24"/>
        </w:rPr>
        <w:t xml:space="preserve">While electricity, natural gas, and vehicle fuel are all different forms of energy, they all produce </w:t>
      </w:r>
      <w:r w:rsidR="00915FAD">
        <w:rPr>
          <w:sz w:val="24"/>
          <w:szCs w:val="24"/>
        </w:rPr>
        <w:t>carbon dioxide</w:t>
      </w:r>
      <w:r>
        <w:rPr>
          <w:sz w:val="24"/>
          <w:szCs w:val="24"/>
        </w:rPr>
        <w:t xml:space="preserve"> emissions </w:t>
      </w:r>
      <w:r w:rsidR="00274A74">
        <w:rPr>
          <w:sz w:val="24"/>
          <w:szCs w:val="24"/>
        </w:rPr>
        <w:t>at some point in the consumption process.</w:t>
      </w:r>
      <w:r>
        <w:rPr>
          <w:sz w:val="24"/>
          <w:szCs w:val="24"/>
        </w:rPr>
        <w:t xml:space="preserve"> In order to combine different sources of energy into one emissions profile, all usage figures must be converted into one “common denominator” unit, which in this case is metric tons of carbon dioxide equivalent, or MTCDE. Conversion factors used in converting kilowatt-hours (kWh) to GHGs were obtained from the E</w:t>
      </w:r>
      <w:r w:rsidR="00FA4112">
        <w:rPr>
          <w:sz w:val="24"/>
          <w:szCs w:val="24"/>
        </w:rPr>
        <w:t>nvironmental Protection Agency (E</w:t>
      </w:r>
      <w:r>
        <w:rPr>
          <w:sz w:val="24"/>
          <w:szCs w:val="24"/>
        </w:rPr>
        <w:t>PA</w:t>
      </w:r>
      <w:r w:rsidR="00FA4112">
        <w:rPr>
          <w:sz w:val="24"/>
          <w:szCs w:val="24"/>
        </w:rPr>
        <w:t>)</w:t>
      </w:r>
      <w:r w:rsidR="00915FAD">
        <w:rPr>
          <w:sz w:val="24"/>
          <w:szCs w:val="24"/>
        </w:rPr>
        <w:t>’s eGRID reports</w:t>
      </w:r>
      <w:r w:rsidR="006C12EF">
        <w:rPr>
          <w:sz w:val="24"/>
          <w:szCs w:val="24"/>
          <w:vertAlign w:val="superscript"/>
        </w:rPr>
        <w:t>2</w:t>
      </w:r>
      <w:r>
        <w:rPr>
          <w:sz w:val="24"/>
          <w:szCs w:val="24"/>
        </w:rPr>
        <w:t xml:space="preserve">. </w:t>
      </w:r>
      <w:r w:rsidR="007C4659">
        <w:rPr>
          <w:sz w:val="24"/>
          <w:szCs w:val="24"/>
        </w:rPr>
        <w:t>A table of the other obtained and derived conversion factors used in this report is prese</w:t>
      </w:r>
      <w:r w:rsidR="009008BC">
        <w:rPr>
          <w:sz w:val="24"/>
          <w:szCs w:val="24"/>
        </w:rPr>
        <w:t>nted below in Table 2</w:t>
      </w:r>
      <w:r w:rsidR="007C4659">
        <w:rPr>
          <w:sz w:val="24"/>
          <w:szCs w:val="24"/>
        </w:rPr>
        <w:t>.</w:t>
      </w:r>
    </w:p>
    <w:p w14:paraId="228F8AAD" w14:textId="77777777" w:rsidR="007C4659" w:rsidRDefault="007C4659" w:rsidP="0080266D">
      <w:pPr>
        <w:tabs>
          <w:tab w:val="left" w:pos="9000"/>
        </w:tabs>
        <w:rPr>
          <w:b/>
          <w:sz w:val="24"/>
          <w:u w:val="single"/>
        </w:rPr>
      </w:pPr>
    </w:p>
    <w:p w14:paraId="77C7E337" w14:textId="4C997313" w:rsidR="007C4659" w:rsidRPr="00800E74" w:rsidRDefault="009008BC" w:rsidP="0080266D">
      <w:pPr>
        <w:tabs>
          <w:tab w:val="left" w:pos="9000"/>
        </w:tabs>
        <w:jc w:val="center"/>
        <w:rPr>
          <w:b/>
          <w:sz w:val="24"/>
        </w:rPr>
      </w:pPr>
      <w:r>
        <w:rPr>
          <w:b/>
          <w:sz w:val="24"/>
        </w:rPr>
        <w:t>Table 2</w:t>
      </w:r>
      <w:r w:rsidR="007C4659">
        <w:rPr>
          <w:b/>
          <w:sz w:val="24"/>
        </w:rPr>
        <w:t>. Conversion Factors for GHG Emissions Calculations</w:t>
      </w:r>
    </w:p>
    <w:tbl>
      <w:tblPr>
        <w:tblStyle w:val="TableGrid"/>
        <w:tblW w:w="0" w:type="auto"/>
        <w:jc w:val="center"/>
        <w:tblLook w:val="04A0" w:firstRow="1" w:lastRow="0" w:firstColumn="1" w:lastColumn="0" w:noHBand="0" w:noVBand="1"/>
      </w:tblPr>
      <w:tblGrid>
        <w:gridCol w:w="1915"/>
        <w:gridCol w:w="1915"/>
        <w:gridCol w:w="1915"/>
        <w:gridCol w:w="1916"/>
      </w:tblGrid>
      <w:tr w:rsidR="007C4659" w:rsidRPr="009A1DC6" w14:paraId="4612DC0D" w14:textId="77777777" w:rsidTr="001135CA">
        <w:trPr>
          <w:trHeight w:val="323"/>
          <w:jc w:val="center"/>
        </w:trPr>
        <w:tc>
          <w:tcPr>
            <w:tcW w:w="1915" w:type="dxa"/>
          </w:tcPr>
          <w:p w14:paraId="4A64A30D" w14:textId="77777777" w:rsidR="007C4659" w:rsidRPr="009A1DC6" w:rsidRDefault="007C4659" w:rsidP="0080266D">
            <w:pPr>
              <w:tabs>
                <w:tab w:val="left" w:pos="9000"/>
              </w:tabs>
              <w:jc w:val="center"/>
              <w:rPr>
                <w:b/>
                <w:sz w:val="24"/>
              </w:rPr>
            </w:pPr>
            <w:r w:rsidRPr="009A1DC6">
              <w:rPr>
                <w:b/>
                <w:sz w:val="24"/>
              </w:rPr>
              <w:t>Energy Type</w:t>
            </w:r>
          </w:p>
        </w:tc>
        <w:tc>
          <w:tcPr>
            <w:tcW w:w="1915" w:type="dxa"/>
          </w:tcPr>
          <w:p w14:paraId="11CFFD1F" w14:textId="77777777" w:rsidR="007C4659" w:rsidRPr="009A1DC6" w:rsidRDefault="007C4659" w:rsidP="0080266D">
            <w:pPr>
              <w:tabs>
                <w:tab w:val="left" w:pos="9000"/>
              </w:tabs>
              <w:jc w:val="center"/>
              <w:rPr>
                <w:b/>
                <w:sz w:val="24"/>
              </w:rPr>
            </w:pPr>
            <w:r w:rsidRPr="009A1DC6">
              <w:rPr>
                <w:b/>
                <w:sz w:val="24"/>
              </w:rPr>
              <w:t>Unit</w:t>
            </w:r>
          </w:p>
        </w:tc>
        <w:tc>
          <w:tcPr>
            <w:tcW w:w="1915" w:type="dxa"/>
          </w:tcPr>
          <w:p w14:paraId="732E481B" w14:textId="77777777" w:rsidR="007C4659" w:rsidRPr="009A1DC6" w:rsidRDefault="007C4659" w:rsidP="0080266D">
            <w:pPr>
              <w:tabs>
                <w:tab w:val="left" w:pos="9000"/>
              </w:tabs>
              <w:jc w:val="center"/>
              <w:rPr>
                <w:b/>
                <w:sz w:val="24"/>
              </w:rPr>
            </w:pPr>
            <w:r>
              <w:rPr>
                <w:b/>
                <w:sz w:val="24"/>
              </w:rPr>
              <w:t>Lbs. CO</w:t>
            </w:r>
            <w:r w:rsidRPr="004D45F4">
              <w:rPr>
                <w:b/>
                <w:sz w:val="24"/>
                <w:vertAlign w:val="subscript"/>
              </w:rPr>
              <w:t>2</w:t>
            </w:r>
          </w:p>
        </w:tc>
        <w:tc>
          <w:tcPr>
            <w:tcW w:w="1916" w:type="dxa"/>
          </w:tcPr>
          <w:p w14:paraId="51911657" w14:textId="77777777" w:rsidR="007C4659" w:rsidRPr="009A1DC6" w:rsidRDefault="007C4659" w:rsidP="0080266D">
            <w:pPr>
              <w:tabs>
                <w:tab w:val="left" w:pos="9000"/>
              </w:tabs>
              <w:jc w:val="center"/>
              <w:rPr>
                <w:b/>
                <w:sz w:val="24"/>
              </w:rPr>
            </w:pPr>
            <w:r>
              <w:rPr>
                <w:b/>
                <w:sz w:val="24"/>
              </w:rPr>
              <w:t>MTCDE</w:t>
            </w:r>
          </w:p>
        </w:tc>
      </w:tr>
      <w:tr w:rsidR="007C4659" w:rsidRPr="009A1DC6" w14:paraId="5CEC405A" w14:textId="77777777" w:rsidTr="00C26200">
        <w:trPr>
          <w:jc w:val="center"/>
        </w:trPr>
        <w:tc>
          <w:tcPr>
            <w:tcW w:w="1915" w:type="dxa"/>
          </w:tcPr>
          <w:p w14:paraId="353BA142" w14:textId="4A98F4AC" w:rsidR="007C4659" w:rsidRPr="00774385" w:rsidRDefault="007C4659" w:rsidP="0080266D">
            <w:pPr>
              <w:tabs>
                <w:tab w:val="left" w:pos="9000"/>
              </w:tabs>
              <w:jc w:val="center"/>
              <w:rPr>
                <w:b/>
                <w:sz w:val="24"/>
                <w:vertAlign w:val="superscript"/>
              </w:rPr>
            </w:pPr>
            <w:r>
              <w:rPr>
                <w:b/>
                <w:sz w:val="24"/>
              </w:rPr>
              <w:t>Natural Gas</w:t>
            </w:r>
            <w:r w:rsidR="006C12EF">
              <w:rPr>
                <w:b/>
                <w:sz w:val="24"/>
                <w:vertAlign w:val="superscript"/>
              </w:rPr>
              <w:t>3</w:t>
            </w:r>
          </w:p>
        </w:tc>
        <w:tc>
          <w:tcPr>
            <w:tcW w:w="1915" w:type="dxa"/>
          </w:tcPr>
          <w:p w14:paraId="4BA6375E" w14:textId="77777777" w:rsidR="007C4659" w:rsidRPr="009A1DC6" w:rsidRDefault="007C4659" w:rsidP="0080266D">
            <w:pPr>
              <w:tabs>
                <w:tab w:val="left" w:pos="9000"/>
              </w:tabs>
              <w:jc w:val="center"/>
              <w:rPr>
                <w:sz w:val="24"/>
              </w:rPr>
            </w:pPr>
            <w:r>
              <w:rPr>
                <w:sz w:val="24"/>
              </w:rPr>
              <w:t>1 Therm</w:t>
            </w:r>
          </w:p>
        </w:tc>
        <w:tc>
          <w:tcPr>
            <w:tcW w:w="1915" w:type="dxa"/>
          </w:tcPr>
          <w:p w14:paraId="42A6FB8C" w14:textId="77777777" w:rsidR="007C4659" w:rsidRPr="009A1DC6" w:rsidRDefault="007C4659" w:rsidP="0080266D">
            <w:pPr>
              <w:tabs>
                <w:tab w:val="left" w:pos="9000"/>
              </w:tabs>
              <w:jc w:val="center"/>
              <w:rPr>
                <w:sz w:val="24"/>
              </w:rPr>
            </w:pPr>
            <w:r>
              <w:rPr>
                <w:sz w:val="24"/>
              </w:rPr>
              <w:t>11.689</w:t>
            </w:r>
          </w:p>
        </w:tc>
        <w:tc>
          <w:tcPr>
            <w:tcW w:w="1916" w:type="dxa"/>
          </w:tcPr>
          <w:p w14:paraId="1B0D0101" w14:textId="77777777" w:rsidR="007C4659" w:rsidRPr="009A1DC6" w:rsidRDefault="007C4659" w:rsidP="0080266D">
            <w:pPr>
              <w:tabs>
                <w:tab w:val="left" w:pos="9000"/>
              </w:tabs>
              <w:jc w:val="center"/>
              <w:rPr>
                <w:sz w:val="24"/>
              </w:rPr>
            </w:pPr>
            <w:r>
              <w:rPr>
                <w:sz w:val="24"/>
              </w:rPr>
              <w:t>0.005302</w:t>
            </w:r>
          </w:p>
        </w:tc>
      </w:tr>
      <w:tr w:rsidR="007C4659" w:rsidRPr="009A1DC6" w14:paraId="242DE62C" w14:textId="77777777" w:rsidTr="00C26200">
        <w:trPr>
          <w:jc w:val="center"/>
        </w:trPr>
        <w:tc>
          <w:tcPr>
            <w:tcW w:w="1915" w:type="dxa"/>
          </w:tcPr>
          <w:p w14:paraId="6E6DB75A" w14:textId="0B337ECA" w:rsidR="007C4659" w:rsidRPr="00774385" w:rsidRDefault="007C4659" w:rsidP="0080266D">
            <w:pPr>
              <w:tabs>
                <w:tab w:val="left" w:pos="9000"/>
              </w:tabs>
              <w:jc w:val="center"/>
              <w:rPr>
                <w:b/>
                <w:sz w:val="24"/>
                <w:vertAlign w:val="superscript"/>
              </w:rPr>
            </w:pPr>
            <w:r>
              <w:rPr>
                <w:b/>
                <w:sz w:val="24"/>
              </w:rPr>
              <w:t>Gasoline</w:t>
            </w:r>
            <w:r w:rsidR="006C12EF">
              <w:rPr>
                <w:b/>
                <w:sz w:val="24"/>
                <w:vertAlign w:val="superscript"/>
              </w:rPr>
              <w:t>3</w:t>
            </w:r>
          </w:p>
        </w:tc>
        <w:tc>
          <w:tcPr>
            <w:tcW w:w="1915" w:type="dxa"/>
          </w:tcPr>
          <w:p w14:paraId="021FDECD" w14:textId="77777777" w:rsidR="007C4659" w:rsidRPr="009A1DC6" w:rsidRDefault="007C4659" w:rsidP="0080266D">
            <w:pPr>
              <w:tabs>
                <w:tab w:val="left" w:pos="9000"/>
              </w:tabs>
              <w:jc w:val="center"/>
              <w:rPr>
                <w:sz w:val="24"/>
              </w:rPr>
            </w:pPr>
            <w:r>
              <w:rPr>
                <w:sz w:val="24"/>
              </w:rPr>
              <w:t>1 Gallon</w:t>
            </w:r>
          </w:p>
        </w:tc>
        <w:tc>
          <w:tcPr>
            <w:tcW w:w="1915" w:type="dxa"/>
          </w:tcPr>
          <w:p w14:paraId="1BB30F8E" w14:textId="77777777" w:rsidR="007C4659" w:rsidRPr="009A1DC6" w:rsidRDefault="007C4659" w:rsidP="0080266D">
            <w:pPr>
              <w:tabs>
                <w:tab w:val="left" w:pos="9000"/>
              </w:tabs>
              <w:jc w:val="center"/>
              <w:rPr>
                <w:sz w:val="24"/>
              </w:rPr>
            </w:pPr>
            <w:r>
              <w:rPr>
                <w:sz w:val="24"/>
              </w:rPr>
              <w:t>19.59</w:t>
            </w:r>
          </w:p>
        </w:tc>
        <w:tc>
          <w:tcPr>
            <w:tcW w:w="1916" w:type="dxa"/>
          </w:tcPr>
          <w:p w14:paraId="3F686D17" w14:textId="77777777" w:rsidR="007C4659" w:rsidRPr="00F844AF" w:rsidRDefault="007C4659" w:rsidP="0080266D">
            <w:pPr>
              <w:tabs>
                <w:tab w:val="left" w:pos="9000"/>
              </w:tabs>
              <w:jc w:val="center"/>
              <w:rPr>
                <w:sz w:val="24"/>
              </w:rPr>
            </w:pPr>
            <w:r w:rsidRPr="00F844AF">
              <w:rPr>
                <w:sz w:val="24"/>
              </w:rPr>
              <w:t>0.008887</w:t>
            </w:r>
          </w:p>
        </w:tc>
      </w:tr>
      <w:tr w:rsidR="007C4659" w:rsidRPr="009A1DC6" w14:paraId="37574214" w14:textId="77777777" w:rsidTr="00C26200">
        <w:trPr>
          <w:jc w:val="center"/>
        </w:trPr>
        <w:tc>
          <w:tcPr>
            <w:tcW w:w="1915" w:type="dxa"/>
          </w:tcPr>
          <w:p w14:paraId="0FE3DF28" w14:textId="5193D509" w:rsidR="007C4659" w:rsidRPr="00774385" w:rsidRDefault="007C4659" w:rsidP="0080266D">
            <w:pPr>
              <w:tabs>
                <w:tab w:val="left" w:pos="9000"/>
              </w:tabs>
              <w:jc w:val="center"/>
              <w:rPr>
                <w:b/>
                <w:sz w:val="24"/>
                <w:vertAlign w:val="superscript"/>
              </w:rPr>
            </w:pPr>
            <w:r>
              <w:rPr>
                <w:b/>
                <w:sz w:val="24"/>
              </w:rPr>
              <w:t>B20 Bio-diesel</w:t>
            </w:r>
            <w:r w:rsidR="006C12EF">
              <w:rPr>
                <w:b/>
                <w:sz w:val="24"/>
                <w:vertAlign w:val="superscript"/>
              </w:rPr>
              <w:t>4</w:t>
            </w:r>
          </w:p>
        </w:tc>
        <w:tc>
          <w:tcPr>
            <w:tcW w:w="1915" w:type="dxa"/>
          </w:tcPr>
          <w:p w14:paraId="33F4CBB6" w14:textId="77777777" w:rsidR="007C4659" w:rsidRPr="009A1DC6" w:rsidRDefault="007C4659" w:rsidP="0080266D">
            <w:pPr>
              <w:tabs>
                <w:tab w:val="left" w:pos="9000"/>
              </w:tabs>
              <w:jc w:val="center"/>
              <w:rPr>
                <w:sz w:val="24"/>
              </w:rPr>
            </w:pPr>
            <w:r>
              <w:rPr>
                <w:sz w:val="24"/>
              </w:rPr>
              <w:t>1 Gallon</w:t>
            </w:r>
          </w:p>
        </w:tc>
        <w:tc>
          <w:tcPr>
            <w:tcW w:w="1915" w:type="dxa"/>
          </w:tcPr>
          <w:p w14:paraId="5137D836" w14:textId="77777777" w:rsidR="007C4659" w:rsidRPr="009A1DC6" w:rsidRDefault="007C4659" w:rsidP="0080266D">
            <w:pPr>
              <w:tabs>
                <w:tab w:val="left" w:pos="9000"/>
              </w:tabs>
              <w:jc w:val="center"/>
              <w:rPr>
                <w:sz w:val="24"/>
              </w:rPr>
            </w:pPr>
            <w:r>
              <w:rPr>
                <w:sz w:val="24"/>
              </w:rPr>
              <w:t>17.89</w:t>
            </w:r>
          </w:p>
        </w:tc>
        <w:tc>
          <w:tcPr>
            <w:tcW w:w="1916" w:type="dxa"/>
          </w:tcPr>
          <w:p w14:paraId="666E7A50" w14:textId="77777777" w:rsidR="007C4659" w:rsidRPr="009A1DC6" w:rsidRDefault="007C4659" w:rsidP="0080266D">
            <w:pPr>
              <w:tabs>
                <w:tab w:val="left" w:pos="9000"/>
              </w:tabs>
              <w:jc w:val="center"/>
              <w:rPr>
                <w:sz w:val="24"/>
              </w:rPr>
            </w:pPr>
            <w:r>
              <w:rPr>
                <w:sz w:val="24"/>
              </w:rPr>
              <w:t>0.00811</w:t>
            </w:r>
          </w:p>
        </w:tc>
      </w:tr>
    </w:tbl>
    <w:p w14:paraId="13BCCA17" w14:textId="77777777" w:rsidR="0080266D" w:rsidRDefault="0080266D" w:rsidP="0080266D">
      <w:pPr>
        <w:tabs>
          <w:tab w:val="left" w:pos="9000"/>
        </w:tabs>
        <w:rPr>
          <w:sz w:val="24"/>
          <w:szCs w:val="24"/>
        </w:rPr>
      </w:pPr>
    </w:p>
    <w:p w14:paraId="0D658333" w14:textId="77777777" w:rsidR="008A505D" w:rsidRDefault="008A505D" w:rsidP="0080266D">
      <w:pPr>
        <w:tabs>
          <w:tab w:val="left" w:pos="9000"/>
        </w:tabs>
        <w:rPr>
          <w:i/>
          <w:sz w:val="24"/>
          <w:szCs w:val="24"/>
        </w:rPr>
      </w:pPr>
    </w:p>
    <w:p w14:paraId="2DC7BC70" w14:textId="77777777" w:rsidR="00283C7A" w:rsidRDefault="00283C7A" w:rsidP="0080266D">
      <w:pPr>
        <w:tabs>
          <w:tab w:val="left" w:pos="9000"/>
        </w:tabs>
        <w:rPr>
          <w:i/>
          <w:sz w:val="24"/>
          <w:szCs w:val="24"/>
        </w:rPr>
      </w:pPr>
    </w:p>
    <w:p w14:paraId="6294DD84" w14:textId="77777777" w:rsidR="00283C7A" w:rsidRDefault="00283C7A" w:rsidP="0080266D">
      <w:pPr>
        <w:tabs>
          <w:tab w:val="left" w:pos="9000"/>
        </w:tabs>
        <w:rPr>
          <w:i/>
          <w:sz w:val="24"/>
          <w:szCs w:val="24"/>
        </w:rPr>
      </w:pPr>
    </w:p>
    <w:p w14:paraId="62B967E8" w14:textId="77777777" w:rsidR="00836F9E" w:rsidRDefault="00836F9E" w:rsidP="0080266D">
      <w:pPr>
        <w:tabs>
          <w:tab w:val="left" w:pos="9000"/>
        </w:tabs>
        <w:rPr>
          <w:i/>
          <w:sz w:val="24"/>
          <w:szCs w:val="24"/>
        </w:rPr>
      </w:pPr>
    </w:p>
    <w:p w14:paraId="1332D19B" w14:textId="77777777" w:rsidR="00774385" w:rsidRDefault="00774385">
      <w:pPr>
        <w:rPr>
          <w:i/>
          <w:sz w:val="24"/>
          <w:szCs w:val="24"/>
        </w:rPr>
      </w:pPr>
      <w:r>
        <w:rPr>
          <w:i/>
          <w:sz w:val="24"/>
          <w:szCs w:val="24"/>
        </w:rPr>
        <w:br w:type="page"/>
      </w:r>
    </w:p>
    <w:p w14:paraId="3982DC46" w14:textId="3BA06440" w:rsidR="001135CA" w:rsidRDefault="001135CA" w:rsidP="0080266D">
      <w:pPr>
        <w:tabs>
          <w:tab w:val="left" w:pos="9000"/>
        </w:tabs>
        <w:rPr>
          <w:i/>
          <w:sz w:val="24"/>
          <w:szCs w:val="24"/>
        </w:rPr>
      </w:pPr>
      <w:r>
        <w:rPr>
          <w:i/>
          <w:sz w:val="24"/>
          <w:szCs w:val="24"/>
        </w:rPr>
        <w:t>Electricity Generation Emissions Accounting</w:t>
      </w:r>
    </w:p>
    <w:p w14:paraId="6C4933C2" w14:textId="77777777" w:rsidR="001135CA" w:rsidRPr="001135CA" w:rsidRDefault="001135CA" w:rsidP="0080266D">
      <w:pPr>
        <w:tabs>
          <w:tab w:val="left" w:pos="9000"/>
        </w:tabs>
        <w:rPr>
          <w:i/>
          <w:sz w:val="24"/>
          <w:szCs w:val="24"/>
        </w:rPr>
      </w:pPr>
    </w:p>
    <w:p w14:paraId="25E1A9D2" w14:textId="4A40B1C2" w:rsidR="00CB20ED" w:rsidRDefault="00FA4112" w:rsidP="0080266D">
      <w:pPr>
        <w:tabs>
          <w:tab w:val="left" w:pos="9000"/>
        </w:tabs>
        <w:rPr>
          <w:sz w:val="24"/>
          <w:szCs w:val="24"/>
        </w:rPr>
      </w:pPr>
      <w:r>
        <w:rPr>
          <w:sz w:val="24"/>
          <w:szCs w:val="24"/>
        </w:rPr>
        <w:t>The EPA’s eGRID reports describe the emissions intensity of electricity generation in specific sub-regions around the country. Each region has its own resource mix that is used in electricity generation, meaning that a kWh of electricity</w:t>
      </w:r>
      <w:r w:rsidR="008E623E">
        <w:rPr>
          <w:sz w:val="24"/>
          <w:szCs w:val="24"/>
        </w:rPr>
        <w:t xml:space="preserve"> consumed</w:t>
      </w:r>
      <w:r>
        <w:rPr>
          <w:sz w:val="24"/>
          <w:szCs w:val="24"/>
        </w:rPr>
        <w:t xml:space="preserve"> has different embedded emissions in different parts of the country. Carrboro is located in the SERC Virginia/Carolina sub</w:t>
      </w:r>
      <w:r w:rsidR="003541D5">
        <w:rPr>
          <w:sz w:val="24"/>
          <w:szCs w:val="24"/>
        </w:rPr>
        <w:t>-</w:t>
      </w:r>
      <w:r>
        <w:rPr>
          <w:sz w:val="24"/>
          <w:szCs w:val="24"/>
        </w:rPr>
        <w:t xml:space="preserve">region (acronym SRVC), which contains parts of Virginia and </w:t>
      </w:r>
      <w:r w:rsidR="009008BC">
        <w:rPr>
          <w:sz w:val="24"/>
          <w:szCs w:val="24"/>
        </w:rPr>
        <w:t xml:space="preserve">both </w:t>
      </w:r>
      <w:r>
        <w:rPr>
          <w:sz w:val="24"/>
          <w:szCs w:val="24"/>
        </w:rPr>
        <w:t xml:space="preserve">North and South Carolina. The EPA’s eGRID reports that are relevant to </w:t>
      </w:r>
      <w:r w:rsidR="008E623E">
        <w:rPr>
          <w:sz w:val="24"/>
          <w:szCs w:val="24"/>
        </w:rPr>
        <w:t>the electricity consumption records in this</w:t>
      </w:r>
      <w:r>
        <w:rPr>
          <w:sz w:val="24"/>
          <w:szCs w:val="24"/>
        </w:rPr>
        <w:t xml:space="preserve"> inventory describe the emissions</w:t>
      </w:r>
      <w:r w:rsidR="008E623E">
        <w:rPr>
          <w:sz w:val="24"/>
          <w:szCs w:val="24"/>
        </w:rPr>
        <w:t xml:space="preserve"> associated with electricity generation</w:t>
      </w:r>
      <w:r>
        <w:rPr>
          <w:sz w:val="24"/>
          <w:szCs w:val="24"/>
        </w:rPr>
        <w:t xml:space="preserve"> in the years 2007, 2009, 2010, 2012, and 2014. </w:t>
      </w:r>
      <w:r w:rsidR="008E623E">
        <w:rPr>
          <w:sz w:val="24"/>
          <w:szCs w:val="24"/>
        </w:rPr>
        <w:t>For each of those years, the annual total output emission rates of lbs. CO</w:t>
      </w:r>
      <w:r w:rsidR="008E623E" w:rsidRPr="009237CF">
        <w:rPr>
          <w:sz w:val="24"/>
          <w:szCs w:val="24"/>
          <w:vertAlign w:val="subscript"/>
        </w:rPr>
        <w:t>2</w:t>
      </w:r>
      <w:r w:rsidR="008E623E">
        <w:rPr>
          <w:sz w:val="24"/>
          <w:szCs w:val="24"/>
        </w:rPr>
        <w:t xml:space="preserve"> per kWh were applied to the appropriate Town records of electricity consumption to determine the </w:t>
      </w:r>
      <w:r w:rsidR="0054466C">
        <w:rPr>
          <w:sz w:val="24"/>
          <w:szCs w:val="24"/>
        </w:rPr>
        <w:t xml:space="preserve">associated </w:t>
      </w:r>
      <w:r w:rsidR="008E623E">
        <w:rPr>
          <w:sz w:val="24"/>
          <w:szCs w:val="24"/>
        </w:rPr>
        <w:t>emissions. The report for the year 2014 is the most recent data, so</w:t>
      </w:r>
      <w:r w:rsidR="00BD425F">
        <w:rPr>
          <w:sz w:val="24"/>
          <w:szCs w:val="24"/>
        </w:rPr>
        <w:t xml:space="preserve"> the inventories for 2014 through </w:t>
      </w:r>
      <w:r w:rsidR="003541D5">
        <w:rPr>
          <w:sz w:val="24"/>
          <w:szCs w:val="24"/>
        </w:rPr>
        <w:t>2016</w:t>
      </w:r>
      <w:r w:rsidR="00312A73">
        <w:rPr>
          <w:sz w:val="24"/>
          <w:szCs w:val="24"/>
        </w:rPr>
        <w:t xml:space="preserve"> use this most recent </w:t>
      </w:r>
      <w:r w:rsidR="00BD425F">
        <w:rPr>
          <w:sz w:val="24"/>
          <w:szCs w:val="24"/>
        </w:rPr>
        <w:t>conversion fa</w:t>
      </w:r>
      <w:r w:rsidR="003541D5">
        <w:rPr>
          <w:sz w:val="24"/>
          <w:szCs w:val="24"/>
        </w:rPr>
        <w:t xml:space="preserve">ctor. </w:t>
      </w:r>
      <w:r w:rsidR="008E623E">
        <w:rPr>
          <w:sz w:val="24"/>
          <w:szCs w:val="24"/>
        </w:rPr>
        <w:t xml:space="preserve">To convert the emissions from </w:t>
      </w:r>
      <w:r w:rsidR="000963A3">
        <w:rPr>
          <w:sz w:val="24"/>
          <w:szCs w:val="24"/>
        </w:rPr>
        <w:t xml:space="preserve">lbs. </w:t>
      </w:r>
      <w:r w:rsidR="008E623E">
        <w:rPr>
          <w:sz w:val="24"/>
          <w:szCs w:val="24"/>
        </w:rPr>
        <w:t>of CO</w:t>
      </w:r>
      <w:r w:rsidR="008E623E" w:rsidRPr="009237CF">
        <w:rPr>
          <w:sz w:val="24"/>
          <w:szCs w:val="24"/>
          <w:vertAlign w:val="subscript"/>
        </w:rPr>
        <w:t>2</w:t>
      </w:r>
      <w:r w:rsidR="008E623E">
        <w:rPr>
          <w:sz w:val="24"/>
          <w:szCs w:val="24"/>
        </w:rPr>
        <w:t xml:space="preserve"> to MTCDE, </w:t>
      </w:r>
      <w:r w:rsidR="003541D5">
        <w:rPr>
          <w:sz w:val="24"/>
          <w:szCs w:val="24"/>
        </w:rPr>
        <w:t>a factor of 2204.62 lbs. per metric ton was applied. The factors showing both pounds of CO</w:t>
      </w:r>
      <w:r w:rsidR="003541D5" w:rsidRPr="009237CF">
        <w:rPr>
          <w:sz w:val="24"/>
          <w:szCs w:val="24"/>
          <w:vertAlign w:val="subscript"/>
        </w:rPr>
        <w:t>2</w:t>
      </w:r>
      <w:r w:rsidR="003541D5">
        <w:rPr>
          <w:sz w:val="24"/>
          <w:szCs w:val="24"/>
        </w:rPr>
        <w:t xml:space="preserve"> emissions per kWh and MTCDE of CO</w:t>
      </w:r>
      <w:r w:rsidR="003541D5" w:rsidRPr="00774385">
        <w:rPr>
          <w:sz w:val="24"/>
          <w:szCs w:val="24"/>
          <w:vertAlign w:val="subscript"/>
        </w:rPr>
        <w:t>2</w:t>
      </w:r>
      <w:r w:rsidR="003541D5">
        <w:rPr>
          <w:sz w:val="24"/>
          <w:szCs w:val="24"/>
        </w:rPr>
        <w:t xml:space="preserve"> emissions per megawatt-hour (MWh) </w:t>
      </w:r>
      <w:r w:rsidR="00BD425F">
        <w:rPr>
          <w:sz w:val="24"/>
          <w:szCs w:val="24"/>
        </w:rPr>
        <w:t>applied throughout the repor</w:t>
      </w:r>
      <w:r w:rsidR="009008BC">
        <w:rPr>
          <w:sz w:val="24"/>
          <w:szCs w:val="24"/>
        </w:rPr>
        <w:t>t are presented below in Table 3</w:t>
      </w:r>
      <w:r w:rsidR="00BD425F">
        <w:rPr>
          <w:sz w:val="24"/>
          <w:szCs w:val="24"/>
        </w:rPr>
        <w:t xml:space="preserve">. </w:t>
      </w:r>
      <w:r w:rsidR="009008BC">
        <w:rPr>
          <w:sz w:val="24"/>
          <w:szCs w:val="24"/>
        </w:rPr>
        <w:t>Table 4</w:t>
      </w:r>
      <w:r w:rsidR="001135CA">
        <w:rPr>
          <w:sz w:val="24"/>
          <w:szCs w:val="24"/>
        </w:rPr>
        <w:t xml:space="preserve"> shows the percentage of electricity generation that each resource accounted for in each of the EPA eGRID reports for the SRVC sub-region.</w:t>
      </w:r>
    </w:p>
    <w:p w14:paraId="409CF765" w14:textId="77777777" w:rsidR="007C2C2C" w:rsidRDefault="007C2C2C" w:rsidP="0080266D">
      <w:pPr>
        <w:tabs>
          <w:tab w:val="left" w:pos="9000"/>
        </w:tabs>
        <w:jc w:val="center"/>
        <w:rPr>
          <w:b/>
          <w:sz w:val="24"/>
          <w:szCs w:val="24"/>
        </w:rPr>
      </w:pPr>
    </w:p>
    <w:p w14:paraId="066B2E32" w14:textId="7DA8B6D7" w:rsidR="003541D5" w:rsidRPr="003541D5" w:rsidRDefault="009008BC" w:rsidP="0080266D">
      <w:pPr>
        <w:tabs>
          <w:tab w:val="left" w:pos="9000"/>
        </w:tabs>
        <w:jc w:val="center"/>
        <w:rPr>
          <w:b/>
          <w:sz w:val="24"/>
          <w:szCs w:val="24"/>
        </w:rPr>
      </w:pPr>
      <w:r>
        <w:rPr>
          <w:b/>
          <w:sz w:val="24"/>
          <w:szCs w:val="24"/>
        </w:rPr>
        <w:t>Table 3</w:t>
      </w:r>
      <w:r w:rsidR="003541D5" w:rsidRPr="003541D5">
        <w:rPr>
          <w:b/>
          <w:sz w:val="24"/>
          <w:szCs w:val="24"/>
        </w:rPr>
        <w:t>. Emissions Intensity of Baseload Electricity Generation, SRVC Sub-region</w:t>
      </w:r>
    </w:p>
    <w:tbl>
      <w:tblPr>
        <w:tblStyle w:val="TableGrid"/>
        <w:tblW w:w="0" w:type="auto"/>
        <w:tblInd w:w="1998" w:type="dxa"/>
        <w:tblLook w:val="04A0" w:firstRow="1" w:lastRow="0" w:firstColumn="1" w:lastColumn="0" w:noHBand="0" w:noVBand="1"/>
      </w:tblPr>
      <w:tblGrid>
        <w:gridCol w:w="1194"/>
        <w:gridCol w:w="1866"/>
        <w:gridCol w:w="2070"/>
      </w:tblGrid>
      <w:tr w:rsidR="003541D5" w14:paraId="45D665BA" w14:textId="77777777" w:rsidTr="003541D5">
        <w:tc>
          <w:tcPr>
            <w:tcW w:w="1194" w:type="dxa"/>
          </w:tcPr>
          <w:p w14:paraId="7E74E529" w14:textId="128F508D" w:rsidR="00BD425F" w:rsidRPr="00BD425F" w:rsidRDefault="00BD425F" w:rsidP="0080266D">
            <w:pPr>
              <w:tabs>
                <w:tab w:val="left" w:pos="9000"/>
              </w:tabs>
              <w:jc w:val="center"/>
              <w:rPr>
                <w:b/>
                <w:sz w:val="24"/>
                <w:szCs w:val="24"/>
              </w:rPr>
            </w:pPr>
            <w:r w:rsidRPr="00BD425F">
              <w:rPr>
                <w:b/>
                <w:sz w:val="24"/>
                <w:szCs w:val="24"/>
              </w:rPr>
              <w:t>Year</w:t>
            </w:r>
          </w:p>
        </w:tc>
        <w:tc>
          <w:tcPr>
            <w:tcW w:w="1866" w:type="dxa"/>
          </w:tcPr>
          <w:p w14:paraId="65885306" w14:textId="46962C7D" w:rsidR="00BD425F" w:rsidRPr="00BD425F" w:rsidRDefault="00BD425F" w:rsidP="0080266D">
            <w:pPr>
              <w:tabs>
                <w:tab w:val="left" w:pos="9000"/>
              </w:tabs>
              <w:jc w:val="center"/>
              <w:rPr>
                <w:b/>
                <w:sz w:val="24"/>
                <w:szCs w:val="24"/>
              </w:rPr>
            </w:pPr>
            <w:r w:rsidRPr="00BD425F">
              <w:rPr>
                <w:b/>
                <w:sz w:val="24"/>
                <w:szCs w:val="24"/>
              </w:rPr>
              <w:t>lbs. CO</w:t>
            </w:r>
            <w:r w:rsidRPr="00774385">
              <w:rPr>
                <w:b/>
                <w:sz w:val="24"/>
                <w:szCs w:val="24"/>
                <w:vertAlign w:val="subscript"/>
              </w:rPr>
              <w:t>2</w:t>
            </w:r>
            <w:r w:rsidRPr="00BD425F">
              <w:rPr>
                <w:b/>
                <w:sz w:val="24"/>
                <w:szCs w:val="24"/>
              </w:rPr>
              <w:t xml:space="preserve"> / kWh</w:t>
            </w:r>
          </w:p>
        </w:tc>
        <w:tc>
          <w:tcPr>
            <w:tcW w:w="2070" w:type="dxa"/>
          </w:tcPr>
          <w:p w14:paraId="39E5F435" w14:textId="0A20B981" w:rsidR="00BD425F" w:rsidRPr="00BD425F" w:rsidRDefault="003541D5" w:rsidP="0080266D">
            <w:pPr>
              <w:tabs>
                <w:tab w:val="left" w:pos="9000"/>
              </w:tabs>
              <w:jc w:val="center"/>
              <w:rPr>
                <w:b/>
                <w:sz w:val="24"/>
                <w:szCs w:val="24"/>
              </w:rPr>
            </w:pPr>
            <w:r>
              <w:rPr>
                <w:b/>
                <w:sz w:val="24"/>
                <w:szCs w:val="24"/>
              </w:rPr>
              <w:t>MTCDE / M</w:t>
            </w:r>
            <w:r w:rsidR="00BD425F" w:rsidRPr="00BD425F">
              <w:rPr>
                <w:b/>
                <w:sz w:val="24"/>
                <w:szCs w:val="24"/>
              </w:rPr>
              <w:t>Wh</w:t>
            </w:r>
          </w:p>
        </w:tc>
      </w:tr>
      <w:tr w:rsidR="003541D5" w14:paraId="5D8E803E" w14:textId="77777777" w:rsidTr="003541D5">
        <w:tc>
          <w:tcPr>
            <w:tcW w:w="1194" w:type="dxa"/>
          </w:tcPr>
          <w:p w14:paraId="4D096D8E" w14:textId="0254826B" w:rsidR="00BD425F" w:rsidRDefault="00BD425F" w:rsidP="0080266D">
            <w:pPr>
              <w:tabs>
                <w:tab w:val="left" w:pos="9000"/>
              </w:tabs>
              <w:jc w:val="center"/>
              <w:rPr>
                <w:sz w:val="24"/>
                <w:szCs w:val="24"/>
              </w:rPr>
            </w:pPr>
            <w:r>
              <w:rPr>
                <w:sz w:val="24"/>
                <w:szCs w:val="24"/>
              </w:rPr>
              <w:t>2007</w:t>
            </w:r>
          </w:p>
        </w:tc>
        <w:tc>
          <w:tcPr>
            <w:tcW w:w="1866" w:type="dxa"/>
          </w:tcPr>
          <w:p w14:paraId="7DBCCA62" w14:textId="35837201" w:rsidR="00BD425F" w:rsidRDefault="00BD425F" w:rsidP="0080266D">
            <w:pPr>
              <w:tabs>
                <w:tab w:val="left" w:pos="9000"/>
              </w:tabs>
              <w:jc w:val="center"/>
              <w:rPr>
                <w:sz w:val="24"/>
                <w:szCs w:val="24"/>
              </w:rPr>
            </w:pPr>
            <w:r>
              <w:rPr>
                <w:sz w:val="24"/>
                <w:szCs w:val="24"/>
              </w:rPr>
              <w:t>1.11841</w:t>
            </w:r>
          </w:p>
        </w:tc>
        <w:tc>
          <w:tcPr>
            <w:tcW w:w="2070" w:type="dxa"/>
          </w:tcPr>
          <w:p w14:paraId="4EACFDB9" w14:textId="24793985" w:rsidR="00BD425F" w:rsidRDefault="003541D5" w:rsidP="0080266D">
            <w:pPr>
              <w:tabs>
                <w:tab w:val="left" w:pos="9000"/>
              </w:tabs>
              <w:jc w:val="center"/>
              <w:rPr>
                <w:sz w:val="24"/>
                <w:szCs w:val="24"/>
              </w:rPr>
            </w:pPr>
            <w:r>
              <w:rPr>
                <w:sz w:val="24"/>
                <w:szCs w:val="24"/>
              </w:rPr>
              <w:t>0.50730</w:t>
            </w:r>
          </w:p>
        </w:tc>
      </w:tr>
      <w:tr w:rsidR="003541D5" w14:paraId="703F8528" w14:textId="77777777" w:rsidTr="003541D5">
        <w:tc>
          <w:tcPr>
            <w:tcW w:w="1194" w:type="dxa"/>
          </w:tcPr>
          <w:p w14:paraId="3EDAA2CA" w14:textId="7A56BA45" w:rsidR="00BD425F" w:rsidRDefault="00BD425F" w:rsidP="0080266D">
            <w:pPr>
              <w:tabs>
                <w:tab w:val="left" w:pos="9000"/>
              </w:tabs>
              <w:jc w:val="center"/>
              <w:rPr>
                <w:sz w:val="24"/>
                <w:szCs w:val="24"/>
              </w:rPr>
            </w:pPr>
            <w:r>
              <w:rPr>
                <w:sz w:val="24"/>
                <w:szCs w:val="24"/>
              </w:rPr>
              <w:t>2009</w:t>
            </w:r>
          </w:p>
        </w:tc>
        <w:tc>
          <w:tcPr>
            <w:tcW w:w="1866" w:type="dxa"/>
          </w:tcPr>
          <w:p w14:paraId="64A3F82C" w14:textId="0EB96F73" w:rsidR="00BD425F" w:rsidRDefault="00BD425F" w:rsidP="0080266D">
            <w:pPr>
              <w:tabs>
                <w:tab w:val="left" w:pos="9000"/>
              </w:tabs>
              <w:jc w:val="center"/>
              <w:rPr>
                <w:sz w:val="24"/>
                <w:szCs w:val="24"/>
              </w:rPr>
            </w:pPr>
            <w:r>
              <w:rPr>
                <w:sz w:val="24"/>
                <w:szCs w:val="24"/>
              </w:rPr>
              <w:t>1.03587</w:t>
            </w:r>
          </w:p>
        </w:tc>
        <w:tc>
          <w:tcPr>
            <w:tcW w:w="2070" w:type="dxa"/>
          </w:tcPr>
          <w:p w14:paraId="01749332" w14:textId="59A06ADF" w:rsidR="00BD425F" w:rsidRDefault="003541D5" w:rsidP="0080266D">
            <w:pPr>
              <w:tabs>
                <w:tab w:val="left" w:pos="9000"/>
              </w:tabs>
              <w:jc w:val="center"/>
              <w:rPr>
                <w:sz w:val="24"/>
                <w:szCs w:val="24"/>
              </w:rPr>
            </w:pPr>
            <w:r>
              <w:rPr>
                <w:sz w:val="24"/>
                <w:szCs w:val="24"/>
              </w:rPr>
              <w:t>0.46986</w:t>
            </w:r>
          </w:p>
        </w:tc>
      </w:tr>
      <w:tr w:rsidR="003541D5" w14:paraId="3C2ADFD1" w14:textId="77777777" w:rsidTr="003541D5">
        <w:tc>
          <w:tcPr>
            <w:tcW w:w="1194" w:type="dxa"/>
          </w:tcPr>
          <w:p w14:paraId="4FE43EE0" w14:textId="17D490A7" w:rsidR="00BD425F" w:rsidRDefault="00BD425F" w:rsidP="0080266D">
            <w:pPr>
              <w:tabs>
                <w:tab w:val="left" w:pos="9000"/>
              </w:tabs>
              <w:jc w:val="center"/>
              <w:rPr>
                <w:sz w:val="24"/>
                <w:szCs w:val="24"/>
              </w:rPr>
            </w:pPr>
            <w:r>
              <w:rPr>
                <w:sz w:val="24"/>
                <w:szCs w:val="24"/>
              </w:rPr>
              <w:t>2010</w:t>
            </w:r>
          </w:p>
        </w:tc>
        <w:tc>
          <w:tcPr>
            <w:tcW w:w="1866" w:type="dxa"/>
          </w:tcPr>
          <w:p w14:paraId="024CF99C" w14:textId="7AF55582" w:rsidR="00BD425F" w:rsidRDefault="00BD425F" w:rsidP="0080266D">
            <w:pPr>
              <w:tabs>
                <w:tab w:val="left" w:pos="9000"/>
              </w:tabs>
              <w:jc w:val="center"/>
              <w:rPr>
                <w:sz w:val="24"/>
                <w:szCs w:val="24"/>
              </w:rPr>
            </w:pPr>
            <w:r>
              <w:rPr>
                <w:sz w:val="24"/>
                <w:szCs w:val="24"/>
              </w:rPr>
              <w:t>1.07365</w:t>
            </w:r>
          </w:p>
        </w:tc>
        <w:tc>
          <w:tcPr>
            <w:tcW w:w="2070" w:type="dxa"/>
          </w:tcPr>
          <w:p w14:paraId="5E108E2B" w14:textId="7A30D8C1" w:rsidR="00BD425F" w:rsidRDefault="003541D5" w:rsidP="0080266D">
            <w:pPr>
              <w:tabs>
                <w:tab w:val="left" w:pos="9000"/>
              </w:tabs>
              <w:jc w:val="center"/>
              <w:rPr>
                <w:sz w:val="24"/>
                <w:szCs w:val="24"/>
              </w:rPr>
            </w:pPr>
            <w:r>
              <w:rPr>
                <w:sz w:val="24"/>
                <w:szCs w:val="24"/>
              </w:rPr>
              <w:t>0.48700</w:t>
            </w:r>
          </w:p>
        </w:tc>
      </w:tr>
      <w:tr w:rsidR="003541D5" w14:paraId="5C7E862A" w14:textId="77777777" w:rsidTr="003541D5">
        <w:tc>
          <w:tcPr>
            <w:tcW w:w="1194" w:type="dxa"/>
          </w:tcPr>
          <w:p w14:paraId="53D91763" w14:textId="50BE0D84" w:rsidR="00BD425F" w:rsidRDefault="00BD425F" w:rsidP="0080266D">
            <w:pPr>
              <w:tabs>
                <w:tab w:val="left" w:pos="9000"/>
              </w:tabs>
              <w:jc w:val="center"/>
              <w:rPr>
                <w:sz w:val="24"/>
                <w:szCs w:val="24"/>
              </w:rPr>
            </w:pPr>
            <w:r>
              <w:rPr>
                <w:sz w:val="24"/>
                <w:szCs w:val="24"/>
              </w:rPr>
              <w:t>2012</w:t>
            </w:r>
          </w:p>
        </w:tc>
        <w:tc>
          <w:tcPr>
            <w:tcW w:w="1866" w:type="dxa"/>
          </w:tcPr>
          <w:p w14:paraId="4A630F39" w14:textId="30DE480D" w:rsidR="00BD425F" w:rsidRDefault="00BD425F" w:rsidP="0080266D">
            <w:pPr>
              <w:tabs>
                <w:tab w:val="left" w:pos="9000"/>
              </w:tabs>
              <w:jc w:val="center"/>
              <w:rPr>
                <w:sz w:val="24"/>
                <w:szCs w:val="24"/>
              </w:rPr>
            </w:pPr>
            <w:r>
              <w:rPr>
                <w:sz w:val="24"/>
                <w:szCs w:val="24"/>
              </w:rPr>
              <w:t>0.93287</w:t>
            </w:r>
          </w:p>
        </w:tc>
        <w:tc>
          <w:tcPr>
            <w:tcW w:w="2070" w:type="dxa"/>
          </w:tcPr>
          <w:p w14:paraId="554BEAE0" w14:textId="3EF86BF5" w:rsidR="00BD425F" w:rsidRDefault="003541D5" w:rsidP="0080266D">
            <w:pPr>
              <w:tabs>
                <w:tab w:val="left" w:pos="9000"/>
              </w:tabs>
              <w:jc w:val="center"/>
              <w:rPr>
                <w:sz w:val="24"/>
                <w:szCs w:val="24"/>
              </w:rPr>
            </w:pPr>
            <w:r>
              <w:rPr>
                <w:sz w:val="24"/>
                <w:szCs w:val="24"/>
              </w:rPr>
              <w:t>0.42314</w:t>
            </w:r>
          </w:p>
        </w:tc>
      </w:tr>
      <w:tr w:rsidR="003541D5" w14:paraId="0B1A7F38" w14:textId="77777777" w:rsidTr="003541D5">
        <w:tc>
          <w:tcPr>
            <w:tcW w:w="1194" w:type="dxa"/>
          </w:tcPr>
          <w:p w14:paraId="7CEDDD95" w14:textId="2619594C" w:rsidR="00BD425F" w:rsidRDefault="00BD425F" w:rsidP="0080266D">
            <w:pPr>
              <w:tabs>
                <w:tab w:val="left" w:pos="9000"/>
              </w:tabs>
              <w:jc w:val="center"/>
              <w:rPr>
                <w:sz w:val="24"/>
                <w:szCs w:val="24"/>
              </w:rPr>
            </w:pPr>
            <w:r>
              <w:rPr>
                <w:sz w:val="24"/>
                <w:szCs w:val="24"/>
              </w:rPr>
              <w:t>2014</w:t>
            </w:r>
          </w:p>
        </w:tc>
        <w:tc>
          <w:tcPr>
            <w:tcW w:w="1866" w:type="dxa"/>
          </w:tcPr>
          <w:p w14:paraId="4C5AA5A6" w14:textId="5A7EDCE2" w:rsidR="00BD425F" w:rsidRDefault="00BD425F" w:rsidP="0080266D">
            <w:pPr>
              <w:tabs>
                <w:tab w:val="left" w:pos="9000"/>
              </w:tabs>
              <w:jc w:val="center"/>
              <w:rPr>
                <w:sz w:val="24"/>
                <w:szCs w:val="24"/>
              </w:rPr>
            </w:pPr>
            <w:r>
              <w:rPr>
                <w:sz w:val="24"/>
                <w:szCs w:val="24"/>
              </w:rPr>
              <w:t>0.8566</w:t>
            </w:r>
          </w:p>
        </w:tc>
        <w:tc>
          <w:tcPr>
            <w:tcW w:w="2070" w:type="dxa"/>
          </w:tcPr>
          <w:p w14:paraId="4C91A958" w14:textId="5B527BFB" w:rsidR="00BD425F" w:rsidRDefault="003541D5" w:rsidP="0080266D">
            <w:pPr>
              <w:tabs>
                <w:tab w:val="left" w:pos="9000"/>
              </w:tabs>
              <w:jc w:val="center"/>
              <w:rPr>
                <w:sz w:val="24"/>
                <w:szCs w:val="24"/>
              </w:rPr>
            </w:pPr>
            <w:r>
              <w:rPr>
                <w:sz w:val="24"/>
                <w:szCs w:val="24"/>
              </w:rPr>
              <w:t>0.38855</w:t>
            </w:r>
          </w:p>
        </w:tc>
      </w:tr>
    </w:tbl>
    <w:p w14:paraId="0E449547" w14:textId="77777777" w:rsidR="00BA152E" w:rsidRDefault="00BA152E" w:rsidP="0080266D">
      <w:pPr>
        <w:tabs>
          <w:tab w:val="left" w:pos="9000"/>
        </w:tabs>
        <w:rPr>
          <w:sz w:val="24"/>
          <w:szCs w:val="24"/>
        </w:rPr>
      </w:pPr>
    </w:p>
    <w:p w14:paraId="40C8C785" w14:textId="7A8DA4B2" w:rsidR="007C4659" w:rsidRPr="001135CA" w:rsidRDefault="009008BC" w:rsidP="0080266D">
      <w:pPr>
        <w:tabs>
          <w:tab w:val="left" w:pos="9000"/>
        </w:tabs>
        <w:jc w:val="center"/>
        <w:rPr>
          <w:b/>
          <w:sz w:val="24"/>
          <w:szCs w:val="24"/>
        </w:rPr>
      </w:pPr>
      <w:r>
        <w:rPr>
          <w:b/>
          <w:sz w:val="24"/>
          <w:szCs w:val="24"/>
        </w:rPr>
        <w:t>Table 4</w:t>
      </w:r>
      <w:r w:rsidR="001135CA">
        <w:rPr>
          <w:b/>
          <w:sz w:val="24"/>
          <w:szCs w:val="24"/>
        </w:rPr>
        <w:t xml:space="preserve">. </w:t>
      </w:r>
      <w:r w:rsidR="00802FA4">
        <w:rPr>
          <w:b/>
          <w:sz w:val="24"/>
          <w:szCs w:val="24"/>
        </w:rPr>
        <w:t>Electricity</w:t>
      </w:r>
      <w:r w:rsidR="001135CA">
        <w:rPr>
          <w:b/>
          <w:sz w:val="24"/>
          <w:szCs w:val="24"/>
        </w:rPr>
        <w:t xml:space="preserve"> Generation Resource Mix, SRVC Sub-region, 2007-2014</w:t>
      </w:r>
    </w:p>
    <w:tbl>
      <w:tblPr>
        <w:tblStyle w:val="TableGrid"/>
        <w:tblW w:w="0" w:type="auto"/>
        <w:jc w:val="center"/>
        <w:tblLook w:val="04A0" w:firstRow="1" w:lastRow="0" w:firstColumn="1" w:lastColumn="0" w:noHBand="0" w:noVBand="1"/>
      </w:tblPr>
      <w:tblGrid>
        <w:gridCol w:w="1593"/>
        <w:gridCol w:w="1215"/>
        <w:gridCol w:w="1180"/>
        <w:gridCol w:w="1160"/>
        <w:gridCol w:w="1180"/>
        <w:gridCol w:w="1160"/>
      </w:tblGrid>
      <w:tr w:rsidR="0080266D" w14:paraId="108C2925" w14:textId="77777777" w:rsidTr="0080266D">
        <w:trPr>
          <w:jc w:val="center"/>
        </w:trPr>
        <w:tc>
          <w:tcPr>
            <w:tcW w:w="1593" w:type="dxa"/>
          </w:tcPr>
          <w:p w14:paraId="4E2EB9DE" w14:textId="77777777" w:rsidR="00C775E5" w:rsidRDefault="00C775E5" w:rsidP="0080266D">
            <w:pPr>
              <w:tabs>
                <w:tab w:val="left" w:pos="9000"/>
              </w:tabs>
              <w:rPr>
                <w:sz w:val="24"/>
                <w:szCs w:val="24"/>
              </w:rPr>
            </w:pPr>
          </w:p>
        </w:tc>
        <w:tc>
          <w:tcPr>
            <w:tcW w:w="1215" w:type="dxa"/>
          </w:tcPr>
          <w:p w14:paraId="719D4A58" w14:textId="0809D155" w:rsidR="00C775E5" w:rsidRPr="003D4B53" w:rsidRDefault="00C775E5" w:rsidP="0080266D">
            <w:pPr>
              <w:tabs>
                <w:tab w:val="left" w:pos="9000"/>
              </w:tabs>
              <w:jc w:val="center"/>
              <w:rPr>
                <w:b/>
                <w:sz w:val="24"/>
                <w:szCs w:val="24"/>
              </w:rPr>
            </w:pPr>
            <w:r w:rsidRPr="003D4B53">
              <w:rPr>
                <w:b/>
                <w:sz w:val="24"/>
                <w:szCs w:val="24"/>
              </w:rPr>
              <w:t>2007</w:t>
            </w:r>
            <w:r w:rsidR="003D4B53">
              <w:rPr>
                <w:b/>
                <w:sz w:val="24"/>
                <w:szCs w:val="24"/>
              </w:rPr>
              <w:t xml:space="preserve"> (%)</w:t>
            </w:r>
          </w:p>
        </w:tc>
        <w:tc>
          <w:tcPr>
            <w:tcW w:w="1180" w:type="dxa"/>
          </w:tcPr>
          <w:p w14:paraId="3A3A03DC" w14:textId="7BB054CF" w:rsidR="00C775E5" w:rsidRPr="003D4B53" w:rsidRDefault="00C775E5" w:rsidP="0080266D">
            <w:pPr>
              <w:tabs>
                <w:tab w:val="left" w:pos="9000"/>
              </w:tabs>
              <w:jc w:val="center"/>
              <w:rPr>
                <w:b/>
                <w:sz w:val="24"/>
                <w:szCs w:val="24"/>
              </w:rPr>
            </w:pPr>
            <w:r w:rsidRPr="003D4B53">
              <w:rPr>
                <w:b/>
                <w:sz w:val="24"/>
                <w:szCs w:val="24"/>
              </w:rPr>
              <w:t>2009</w:t>
            </w:r>
            <w:r w:rsidR="003D4B53">
              <w:rPr>
                <w:b/>
                <w:sz w:val="24"/>
                <w:szCs w:val="24"/>
              </w:rPr>
              <w:t xml:space="preserve"> (%)</w:t>
            </w:r>
          </w:p>
        </w:tc>
        <w:tc>
          <w:tcPr>
            <w:tcW w:w="1160" w:type="dxa"/>
          </w:tcPr>
          <w:p w14:paraId="5EB2EC5B" w14:textId="36B28C79" w:rsidR="00C775E5" w:rsidRPr="003D4B53" w:rsidRDefault="00C775E5" w:rsidP="0080266D">
            <w:pPr>
              <w:tabs>
                <w:tab w:val="left" w:pos="9000"/>
              </w:tabs>
              <w:jc w:val="center"/>
              <w:rPr>
                <w:b/>
                <w:sz w:val="24"/>
                <w:szCs w:val="24"/>
              </w:rPr>
            </w:pPr>
            <w:r w:rsidRPr="003D4B53">
              <w:rPr>
                <w:b/>
                <w:sz w:val="24"/>
                <w:szCs w:val="24"/>
              </w:rPr>
              <w:t>2010</w:t>
            </w:r>
            <w:r w:rsidR="003D4B53">
              <w:rPr>
                <w:b/>
                <w:sz w:val="24"/>
                <w:szCs w:val="24"/>
              </w:rPr>
              <w:t xml:space="preserve"> (%)</w:t>
            </w:r>
          </w:p>
        </w:tc>
        <w:tc>
          <w:tcPr>
            <w:tcW w:w="1180" w:type="dxa"/>
          </w:tcPr>
          <w:p w14:paraId="11224C4F" w14:textId="7AC3E0C9" w:rsidR="00C775E5" w:rsidRPr="003D4B53" w:rsidRDefault="00C775E5" w:rsidP="0080266D">
            <w:pPr>
              <w:tabs>
                <w:tab w:val="left" w:pos="9000"/>
              </w:tabs>
              <w:jc w:val="center"/>
              <w:rPr>
                <w:b/>
                <w:sz w:val="24"/>
                <w:szCs w:val="24"/>
              </w:rPr>
            </w:pPr>
            <w:r w:rsidRPr="003D4B53">
              <w:rPr>
                <w:b/>
                <w:sz w:val="24"/>
                <w:szCs w:val="24"/>
              </w:rPr>
              <w:t>2012</w:t>
            </w:r>
            <w:r w:rsidR="003D4B53">
              <w:rPr>
                <w:b/>
                <w:sz w:val="24"/>
                <w:szCs w:val="24"/>
              </w:rPr>
              <w:t xml:space="preserve"> (%)</w:t>
            </w:r>
          </w:p>
        </w:tc>
        <w:tc>
          <w:tcPr>
            <w:tcW w:w="1160" w:type="dxa"/>
          </w:tcPr>
          <w:p w14:paraId="6BD61FBB" w14:textId="47936F43" w:rsidR="00C775E5" w:rsidRPr="003D4B53" w:rsidRDefault="00C775E5" w:rsidP="0080266D">
            <w:pPr>
              <w:tabs>
                <w:tab w:val="left" w:pos="9000"/>
              </w:tabs>
              <w:jc w:val="center"/>
              <w:rPr>
                <w:b/>
                <w:sz w:val="24"/>
                <w:szCs w:val="24"/>
              </w:rPr>
            </w:pPr>
            <w:r w:rsidRPr="003D4B53">
              <w:rPr>
                <w:b/>
                <w:sz w:val="24"/>
                <w:szCs w:val="24"/>
              </w:rPr>
              <w:t>2014</w:t>
            </w:r>
            <w:r w:rsidR="003D4B53">
              <w:rPr>
                <w:b/>
                <w:sz w:val="24"/>
                <w:szCs w:val="24"/>
              </w:rPr>
              <w:t xml:space="preserve"> (%)</w:t>
            </w:r>
          </w:p>
        </w:tc>
      </w:tr>
      <w:tr w:rsidR="0080266D" w14:paraId="06A03ADB" w14:textId="77777777" w:rsidTr="0080266D">
        <w:trPr>
          <w:jc w:val="center"/>
        </w:trPr>
        <w:tc>
          <w:tcPr>
            <w:tcW w:w="1593" w:type="dxa"/>
          </w:tcPr>
          <w:p w14:paraId="6C132C9B" w14:textId="0DC54F55" w:rsidR="00C775E5" w:rsidRPr="003D4B53" w:rsidRDefault="00C775E5" w:rsidP="0080266D">
            <w:pPr>
              <w:tabs>
                <w:tab w:val="left" w:pos="9000"/>
              </w:tabs>
              <w:jc w:val="right"/>
              <w:rPr>
                <w:b/>
                <w:sz w:val="24"/>
                <w:szCs w:val="24"/>
              </w:rPr>
            </w:pPr>
            <w:r w:rsidRPr="003D4B53">
              <w:rPr>
                <w:b/>
                <w:sz w:val="24"/>
                <w:szCs w:val="24"/>
              </w:rPr>
              <w:t>Coal</w:t>
            </w:r>
          </w:p>
        </w:tc>
        <w:tc>
          <w:tcPr>
            <w:tcW w:w="1215" w:type="dxa"/>
          </w:tcPr>
          <w:p w14:paraId="36A3310B" w14:textId="38EE4AAF" w:rsidR="00C775E5" w:rsidRDefault="00C775E5" w:rsidP="0080266D">
            <w:pPr>
              <w:tabs>
                <w:tab w:val="left" w:pos="9000"/>
              </w:tabs>
              <w:jc w:val="center"/>
              <w:rPr>
                <w:sz w:val="24"/>
                <w:szCs w:val="24"/>
              </w:rPr>
            </w:pPr>
            <w:r>
              <w:rPr>
                <w:sz w:val="24"/>
                <w:szCs w:val="24"/>
              </w:rPr>
              <w:t>51.0771</w:t>
            </w:r>
          </w:p>
        </w:tc>
        <w:tc>
          <w:tcPr>
            <w:tcW w:w="1180" w:type="dxa"/>
          </w:tcPr>
          <w:p w14:paraId="2D9D3ADB" w14:textId="28B3E754" w:rsidR="00C775E5" w:rsidRDefault="00C775E5" w:rsidP="0080266D">
            <w:pPr>
              <w:tabs>
                <w:tab w:val="left" w:pos="9000"/>
              </w:tabs>
              <w:jc w:val="center"/>
              <w:rPr>
                <w:sz w:val="24"/>
                <w:szCs w:val="24"/>
              </w:rPr>
            </w:pPr>
            <w:r>
              <w:rPr>
                <w:sz w:val="24"/>
                <w:szCs w:val="24"/>
              </w:rPr>
              <w:t>45.1039</w:t>
            </w:r>
          </w:p>
        </w:tc>
        <w:tc>
          <w:tcPr>
            <w:tcW w:w="1160" w:type="dxa"/>
          </w:tcPr>
          <w:p w14:paraId="03E79E75" w14:textId="18BE4D7F" w:rsidR="00C775E5" w:rsidRDefault="00C775E5" w:rsidP="0080266D">
            <w:pPr>
              <w:tabs>
                <w:tab w:val="left" w:pos="9000"/>
              </w:tabs>
              <w:jc w:val="center"/>
              <w:rPr>
                <w:sz w:val="24"/>
                <w:szCs w:val="24"/>
              </w:rPr>
            </w:pPr>
            <w:r>
              <w:rPr>
                <w:sz w:val="24"/>
                <w:szCs w:val="24"/>
              </w:rPr>
              <w:t>45.7303</w:t>
            </w:r>
          </w:p>
        </w:tc>
        <w:tc>
          <w:tcPr>
            <w:tcW w:w="1180" w:type="dxa"/>
          </w:tcPr>
          <w:p w14:paraId="67B69923" w14:textId="57AFBBA8" w:rsidR="00C775E5" w:rsidRDefault="00C775E5" w:rsidP="0080266D">
            <w:pPr>
              <w:tabs>
                <w:tab w:val="left" w:pos="9000"/>
              </w:tabs>
              <w:jc w:val="center"/>
              <w:rPr>
                <w:sz w:val="24"/>
                <w:szCs w:val="24"/>
              </w:rPr>
            </w:pPr>
            <w:r>
              <w:rPr>
                <w:sz w:val="24"/>
                <w:szCs w:val="24"/>
              </w:rPr>
              <w:t>34.7513</w:t>
            </w:r>
          </w:p>
        </w:tc>
        <w:tc>
          <w:tcPr>
            <w:tcW w:w="1160" w:type="dxa"/>
          </w:tcPr>
          <w:p w14:paraId="631DBB1D" w14:textId="0BBEF08E" w:rsidR="00C775E5" w:rsidRDefault="00C775E5" w:rsidP="0080266D">
            <w:pPr>
              <w:tabs>
                <w:tab w:val="left" w:pos="9000"/>
              </w:tabs>
              <w:jc w:val="center"/>
              <w:rPr>
                <w:sz w:val="24"/>
                <w:szCs w:val="24"/>
              </w:rPr>
            </w:pPr>
            <w:r>
              <w:rPr>
                <w:sz w:val="24"/>
                <w:szCs w:val="24"/>
              </w:rPr>
              <w:t>31.7</w:t>
            </w:r>
          </w:p>
        </w:tc>
      </w:tr>
      <w:tr w:rsidR="0080266D" w14:paraId="512E3C97" w14:textId="77777777" w:rsidTr="0080266D">
        <w:trPr>
          <w:jc w:val="center"/>
        </w:trPr>
        <w:tc>
          <w:tcPr>
            <w:tcW w:w="1593" w:type="dxa"/>
          </w:tcPr>
          <w:p w14:paraId="3CC8F791" w14:textId="71A65569" w:rsidR="003D4B53" w:rsidRPr="003D4B53" w:rsidRDefault="003D4B53" w:rsidP="0080266D">
            <w:pPr>
              <w:tabs>
                <w:tab w:val="left" w:pos="9000"/>
              </w:tabs>
              <w:jc w:val="right"/>
              <w:rPr>
                <w:b/>
                <w:sz w:val="24"/>
                <w:szCs w:val="24"/>
              </w:rPr>
            </w:pPr>
            <w:r w:rsidRPr="003D4B53">
              <w:rPr>
                <w:b/>
                <w:sz w:val="24"/>
                <w:szCs w:val="24"/>
              </w:rPr>
              <w:t>Nuclear</w:t>
            </w:r>
          </w:p>
        </w:tc>
        <w:tc>
          <w:tcPr>
            <w:tcW w:w="1215" w:type="dxa"/>
          </w:tcPr>
          <w:p w14:paraId="04CE396A" w14:textId="152792EF" w:rsidR="003D4B53" w:rsidRDefault="003D4B53" w:rsidP="0080266D">
            <w:pPr>
              <w:tabs>
                <w:tab w:val="left" w:pos="9000"/>
              </w:tabs>
              <w:jc w:val="center"/>
              <w:rPr>
                <w:sz w:val="24"/>
                <w:szCs w:val="24"/>
              </w:rPr>
            </w:pPr>
            <w:r>
              <w:rPr>
                <w:sz w:val="24"/>
                <w:szCs w:val="24"/>
              </w:rPr>
              <w:t>38.3574</w:t>
            </w:r>
          </w:p>
        </w:tc>
        <w:tc>
          <w:tcPr>
            <w:tcW w:w="1180" w:type="dxa"/>
          </w:tcPr>
          <w:p w14:paraId="767D52C6" w14:textId="2A3CA2FB" w:rsidR="003D4B53" w:rsidRDefault="003D4B53" w:rsidP="0080266D">
            <w:pPr>
              <w:tabs>
                <w:tab w:val="left" w:pos="9000"/>
              </w:tabs>
              <w:jc w:val="center"/>
              <w:rPr>
                <w:sz w:val="24"/>
                <w:szCs w:val="24"/>
              </w:rPr>
            </w:pPr>
            <w:r>
              <w:rPr>
                <w:sz w:val="24"/>
                <w:szCs w:val="24"/>
              </w:rPr>
              <w:t>41.3467</w:t>
            </w:r>
          </w:p>
        </w:tc>
        <w:tc>
          <w:tcPr>
            <w:tcW w:w="1160" w:type="dxa"/>
          </w:tcPr>
          <w:p w14:paraId="40DD69C5" w14:textId="73454DF3" w:rsidR="003D4B53" w:rsidRDefault="003D4B53" w:rsidP="0080266D">
            <w:pPr>
              <w:tabs>
                <w:tab w:val="left" w:pos="9000"/>
              </w:tabs>
              <w:jc w:val="center"/>
              <w:rPr>
                <w:sz w:val="24"/>
                <w:szCs w:val="24"/>
              </w:rPr>
            </w:pPr>
            <w:r>
              <w:rPr>
                <w:sz w:val="24"/>
                <w:szCs w:val="24"/>
              </w:rPr>
              <w:t>38.2454</w:t>
            </w:r>
          </w:p>
        </w:tc>
        <w:tc>
          <w:tcPr>
            <w:tcW w:w="1180" w:type="dxa"/>
          </w:tcPr>
          <w:p w14:paraId="092F7D84" w14:textId="44CC4A27" w:rsidR="003D4B53" w:rsidRDefault="003D4B53" w:rsidP="0080266D">
            <w:pPr>
              <w:tabs>
                <w:tab w:val="left" w:pos="9000"/>
              </w:tabs>
              <w:jc w:val="center"/>
              <w:rPr>
                <w:sz w:val="24"/>
                <w:szCs w:val="24"/>
              </w:rPr>
            </w:pPr>
            <w:r>
              <w:rPr>
                <w:sz w:val="24"/>
                <w:szCs w:val="24"/>
              </w:rPr>
              <w:t>41.1632</w:t>
            </w:r>
          </w:p>
        </w:tc>
        <w:tc>
          <w:tcPr>
            <w:tcW w:w="1160" w:type="dxa"/>
          </w:tcPr>
          <w:p w14:paraId="7DEEE759" w14:textId="6C45A324" w:rsidR="003D4B53" w:rsidRDefault="003D4B53" w:rsidP="0080266D">
            <w:pPr>
              <w:tabs>
                <w:tab w:val="left" w:pos="9000"/>
              </w:tabs>
              <w:jc w:val="center"/>
              <w:rPr>
                <w:sz w:val="24"/>
                <w:szCs w:val="24"/>
              </w:rPr>
            </w:pPr>
            <w:r>
              <w:rPr>
                <w:sz w:val="24"/>
                <w:szCs w:val="24"/>
              </w:rPr>
              <w:t>42.2</w:t>
            </w:r>
          </w:p>
        </w:tc>
      </w:tr>
      <w:tr w:rsidR="0080266D" w14:paraId="7E779E06" w14:textId="77777777" w:rsidTr="0080266D">
        <w:trPr>
          <w:jc w:val="center"/>
        </w:trPr>
        <w:tc>
          <w:tcPr>
            <w:tcW w:w="1593" w:type="dxa"/>
          </w:tcPr>
          <w:p w14:paraId="4BFE8593" w14:textId="03E2B6CA" w:rsidR="003D4B53" w:rsidRPr="003D4B53" w:rsidRDefault="003D4B53" w:rsidP="0080266D">
            <w:pPr>
              <w:tabs>
                <w:tab w:val="left" w:pos="9000"/>
              </w:tabs>
              <w:jc w:val="right"/>
              <w:rPr>
                <w:b/>
                <w:sz w:val="24"/>
                <w:szCs w:val="24"/>
              </w:rPr>
            </w:pPr>
            <w:r w:rsidRPr="003D4B53">
              <w:rPr>
                <w:b/>
                <w:sz w:val="24"/>
                <w:szCs w:val="24"/>
              </w:rPr>
              <w:t>Natural Gas</w:t>
            </w:r>
          </w:p>
        </w:tc>
        <w:tc>
          <w:tcPr>
            <w:tcW w:w="1215" w:type="dxa"/>
          </w:tcPr>
          <w:p w14:paraId="7E574412" w14:textId="2B8B258C" w:rsidR="003D4B53" w:rsidRDefault="003D4B53" w:rsidP="0080266D">
            <w:pPr>
              <w:tabs>
                <w:tab w:val="left" w:pos="9000"/>
              </w:tabs>
              <w:jc w:val="center"/>
              <w:rPr>
                <w:sz w:val="24"/>
                <w:szCs w:val="24"/>
              </w:rPr>
            </w:pPr>
            <w:r>
              <w:rPr>
                <w:sz w:val="24"/>
                <w:szCs w:val="24"/>
              </w:rPr>
              <w:t>6.6934</w:t>
            </w:r>
          </w:p>
        </w:tc>
        <w:tc>
          <w:tcPr>
            <w:tcW w:w="1180" w:type="dxa"/>
          </w:tcPr>
          <w:p w14:paraId="74DB676A" w14:textId="142C3BE8" w:rsidR="003D4B53" w:rsidRDefault="003D4B53" w:rsidP="0080266D">
            <w:pPr>
              <w:tabs>
                <w:tab w:val="left" w:pos="9000"/>
              </w:tabs>
              <w:jc w:val="center"/>
              <w:rPr>
                <w:sz w:val="24"/>
                <w:szCs w:val="24"/>
              </w:rPr>
            </w:pPr>
            <w:r>
              <w:rPr>
                <w:sz w:val="24"/>
                <w:szCs w:val="24"/>
              </w:rPr>
              <w:t>8.9501</w:t>
            </w:r>
          </w:p>
        </w:tc>
        <w:tc>
          <w:tcPr>
            <w:tcW w:w="1160" w:type="dxa"/>
          </w:tcPr>
          <w:p w14:paraId="201B3789" w14:textId="0002DE98" w:rsidR="003D4B53" w:rsidRDefault="003D4B53" w:rsidP="0080266D">
            <w:pPr>
              <w:tabs>
                <w:tab w:val="left" w:pos="9000"/>
              </w:tabs>
              <w:jc w:val="center"/>
              <w:rPr>
                <w:sz w:val="24"/>
                <w:szCs w:val="24"/>
              </w:rPr>
            </w:pPr>
            <w:r>
              <w:rPr>
                <w:sz w:val="24"/>
                <w:szCs w:val="24"/>
              </w:rPr>
              <w:t>11.7297</w:t>
            </w:r>
          </w:p>
        </w:tc>
        <w:tc>
          <w:tcPr>
            <w:tcW w:w="1180" w:type="dxa"/>
          </w:tcPr>
          <w:p w14:paraId="4F2E3725" w14:textId="09222040" w:rsidR="003D4B53" w:rsidRDefault="003D4B53" w:rsidP="0080266D">
            <w:pPr>
              <w:tabs>
                <w:tab w:val="left" w:pos="9000"/>
              </w:tabs>
              <w:jc w:val="center"/>
              <w:rPr>
                <w:sz w:val="24"/>
                <w:szCs w:val="24"/>
              </w:rPr>
            </w:pPr>
            <w:r>
              <w:rPr>
                <w:sz w:val="24"/>
                <w:szCs w:val="24"/>
              </w:rPr>
              <w:t>20.2079</w:t>
            </w:r>
          </w:p>
        </w:tc>
        <w:tc>
          <w:tcPr>
            <w:tcW w:w="1160" w:type="dxa"/>
          </w:tcPr>
          <w:p w14:paraId="3B065F02" w14:textId="7D3BDF1C" w:rsidR="003D4B53" w:rsidRDefault="003D4B53" w:rsidP="0080266D">
            <w:pPr>
              <w:tabs>
                <w:tab w:val="left" w:pos="9000"/>
              </w:tabs>
              <w:jc w:val="center"/>
              <w:rPr>
                <w:sz w:val="24"/>
                <w:szCs w:val="24"/>
              </w:rPr>
            </w:pPr>
            <w:r>
              <w:rPr>
                <w:sz w:val="24"/>
                <w:szCs w:val="24"/>
              </w:rPr>
              <w:t>20.8</w:t>
            </w:r>
          </w:p>
        </w:tc>
      </w:tr>
      <w:tr w:rsidR="0080266D" w14:paraId="07BF6F8D" w14:textId="77777777" w:rsidTr="0080266D">
        <w:trPr>
          <w:jc w:val="center"/>
        </w:trPr>
        <w:tc>
          <w:tcPr>
            <w:tcW w:w="1593" w:type="dxa"/>
          </w:tcPr>
          <w:p w14:paraId="4DF64543" w14:textId="4C8244ED" w:rsidR="003D4B53" w:rsidRPr="003D4B53" w:rsidRDefault="003D4B53" w:rsidP="0080266D">
            <w:pPr>
              <w:tabs>
                <w:tab w:val="left" w:pos="9000"/>
              </w:tabs>
              <w:jc w:val="right"/>
              <w:rPr>
                <w:b/>
                <w:sz w:val="24"/>
                <w:szCs w:val="24"/>
              </w:rPr>
            </w:pPr>
            <w:r w:rsidRPr="003D4B53">
              <w:rPr>
                <w:b/>
                <w:sz w:val="24"/>
                <w:szCs w:val="24"/>
              </w:rPr>
              <w:t>Biomass</w:t>
            </w:r>
          </w:p>
        </w:tc>
        <w:tc>
          <w:tcPr>
            <w:tcW w:w="1215" w:type="dxa"/>
          </w:tcPr>
          <w:p w14:paraId="7BCC098E" w14:textId="3C9B11CA" w:rsidR="003D4B53" w:rsidRDefault="003D4B53" w:rsidP="0080266D">
            <w:pPr>
              <w:tabs>
                <w:tab w:val="left" w:pos="9000"/>
              </w:tabs>
              <w:jc w:val="center"/>
              <w:rPr>
                <w:sz w:val="24"/>
                <w:szCs w:val="24"/>
              </w:rPr>
            </w:pPr>
            <w:r>
              <w:rPr>
                <w:sz w:val="24"/>
                <w:szCs w:val="24"/>
              </w:rPr>
              <w:t>1.9631</w:t>
            </w:r>
          </w:p>
        </w:tc>
        <w:tc>
          <w:tcPr>
            <w:tcW w:w="1180" w:type="dxa"/>
          </w:tcPr>
          <w:p w14:paraId="5D979434" w14:textId="2406361F" w:rsidR="003D4B53" w:rsidRDefault="003D4B53" w:rsidP="0080266D">
            <w:pPr>
              <w:tabs>
                <w:tab w:val="left" w:pos="9000"/>
              </w:tabs>
              <w:jc w:val="center"/>
              <w:rPr>
                <w:sz w:val="24"/>
                <w:szCs w:val="24"/>
              </w:rPr>
            </w:pPr>
            <w:r>
              <w:rPr>
                <w:sz w:val="24"/>
                <w:szCs w:val="24"/>
              </w:rPr>
              <w:t>2.0466</w:t>
            </w:r>
          </w:p>
        </w:tc>
        <w:tc>
          <w:tcPr>
            <w:tcW w:w="1160" w:type="dxa"/>
          </w:tcPr>
          <w:p w14:paraId="1B1D8667" w14:textId="1D56FE88" w:rsidR="003D4B53" w:rsidRDefault="003D4B53" w:rsidP="0080266D">
            <w:pPr>
              <w:tabs>
                <w:tab w:val="left" w:pos="9000"/>
              </w:tabs>
              <w:jc w:val="center"/>
              <w:rPr>
                <w:sz w:val="24"/>
                <w:szCs w:val="24"/>
              </w:rPr>
            </w:pPr>
            <w:r>
              <w:rPr>
                <w:sz w:val="24"/>
                <w:szCs w:val="24"/>
              </w:rPr>
              <w:t>1.9584</w:t>
            </w:r>
          </w:p>
        </w:tc>
        <w:tc>
          <w:tcPr>
            <w:tcW w:w="1180" w:type="dxa"/>
          </w:tcPr>
          <w:p w14:paraId="56B9EC64" w14:textId="2D6F74E2" w:rsidR="003D4B53" w:rsidRDefault="003D4B53" w:rsidP="0080266D">
            <w:pPr>
              <w:tabs>
                <w:tab w:val="left" w:pos="9000"/>
              </w:tabs>
              <w:jc w:val="center"/>
              <w:rPr>
                <w:sz w:val="24"/>
                <w:szCs w:val="24"/>
              </w:rPr>
            </w:pPr>
            <w:r>
              <w:rPr>
                <w:sz w:val="24"/>
                <w:szCs w:val="24"/>
              </w:rPr>
              <w:t>2.4344</w:t>
            </w:r>
          </w:p>
        </w:tc>
        <w:tc>
          <w:tcPr>
            <w:tcW w:w="1160" w:type="dxa"/>
          </w:tcPr>
          <w:p w14:paraId="35AEA367" w14:textId="27E3D4E6" w:rsidR="003D4B53" w:rsidRDefault="003D4B53" w:rsidP="0080266D">
            <w:pPr>
              <w:tabs>
                <w:tab w:val="left" w:pos="9000"/>
              </w:tabs>
              <w:jc w:val="center"/>
              <w:rPr>
                <w:sz w:val="24"/>
                <w:szCs w:val="24"/>
              </w:rPr>
            </w:pPr>
            <w:r>
              <w:rPr>
                <w:sz w:val="24"/>
                <w:szCs w:val="24"/>
              </w:rPr>
              <w:t>2.9</w:t>
            </w:r>
          </w:p>
        </w:tc>
      </w:tr>
      <w:tr w:rsidR="0080266D" w14:paraId="65926EF7" w14:textId="77777777" w:rsidTr="0080266D">
        <w:trPr>
          <w:jc w:val="center"/>
        </w:trPr>
        <w:tc>
          <w:tcPr>
            <w:tcW w:w="1593" w:type="dxa"/>
          </w:tcPr>
          <w:p w14:paraId="5627327D" w14:textId="0167A26A" w:rsidR="003D4B53" w:rsidRPr="003D4B53" w:rsidRDefault="003D4B53" w:rsidP="0080266D">
            <w:pPr>
              <w:tabs>
                <w:tab w:val="left" w:pos="9000"/>
              </w:tabs>
              <w:jc w:val="right"/>
              <w:rPr>
                <w:b/>
                <w:sz w:val="24"/>
                <w:szCs w:val="24"/>
              </w:rPr>
            </w:pPr>
            <w:r w:rsidRPr="003D4B53">
              <w:rPr>
                <w:b/>
                <w:sz w:val="24"/>
                <w:szCs w:val="24"/>
              </w:rPr>
              <w:t>Hydro</w:t>
            </w:r>
          </w:p>
        </w:tc>
        <w:tc>
          <w:tcPr>
            <w:tcW w:w="1215" w:type="dxa"/>
          </w:tcPr>
          <w:p w14:paraId="38C8BD14" w14:textId="7FCE7214" w:rsidR="003D4B53" w:rsidRDefault="003D4B53" w:rsidP="0080266D">
            <w:pPr>
              <w:tabs>
                <w:tab w:val="left" w:pos="9000"/>
              </w:tabs>
              <w:jc w:val="center"/>
              <w:rPr>
                <w:sz w:val="24"/>
                <w:szCs w:val="24"/>
              </w:rPr>
            </w:pPr>
            <w:r>
              <w:rPr>
                <w:sz w:val="24"/>
                <w:szCs w:val="24"/>
              </w:rPr>
              <w:t>0.7238</w:t>
            </w:r>
          </w:p>
        </w:tc>
        <w:tc>
          <w:tcPr>
            <w:tcW w:w="1180" w:type="dxa"/>
          </w:tcPr>
          <w:p w14:paraId="080A6FAD" w14:textId="2DFB649A" w:rsidR="003D4B53" w:rsidRDefault="003D4B53" w:rsidP="0080266D">
            <w:pPr>
              <w:tabs>
                <w:tab w:val="left" w:pos="9000"/>
              </w:tabs>
              <w:jc w:val="center"/>
              <w:rPr>
                <w:sz w:val="24"/>
                <w:szCs w:val="24"/>
              </w:rPr>
            </w:pPr>
            <w:r>
              <w:rPr>
                <w:sz w:val="24"/>
                <w:szCs w:val="24"/>
              </w:rPr>
              <w:t>1.6491</w:t>
            </w:r>
          </w:p>
        </w:tc>
        <w:tc>
          <w:tcPr>
            <w:tcW w:w="1160" w:type="dxa"/>
          </w:tcPr>
          <w:p w14:paraId="136AF74C" w14:textId="204F2637" w:rsidR="003D4B53" w:rsidRDefault="003D4B53" w:rsidP="0080266D">
            <w:pPr>
              <w:tabs>
                <w:tab w:val="left" w:pos="9000"/>
              </w:tabs>
              <w:jc w:val="center"/>
              <w:rPr>
                <w:sz w:val="24"/>
                <w:szCs w:val="24"/>
              </w:rPr>
            </w:pPr>
            <w:r>
              <w:rPr>
                <w:sz w:val="24"/>
                <w:szCs w:val="24"/>
              </w:rPr>
              <w:t>1.492</w:t>
            </w:r>
          </w:p>
        </w:tc>
        <w:tc>
          <w:tcPr>
            <w:tcW w:w="1180" w:type="dxa"/>
          </w:tcPr>
          <w:p w14:paraId="099DE1F9" w14:textId="1779BD49" w:rsidR="003D4B53" w:rsidRDefault="003D4B53" w:rsidP="0080266D">
            <w:pPr>
              <w:tabs>
                <w:tab w:val="left" w:pos="9000"/>
              </w:tabs>
              <w:jc w:val="center"/>
              <w:rPr>
                <w:sz w:val="24"/>
                <w:szCs w:val="24"/>
              </w:rPr>
            </w:pPr>
            <w:r>
              <w:rPr>
                <w:sz w:val="24"/>
                <w:szCs w:val="24"/>
              </w:rPr>
              <w:t>0.8794</w:t>
            </w:r>
          </w:p>
        </w:tc>
        <w:tc>
          <w:tcPr>
            <w:tcW w:w="1160" w:type="dxa"/>
          </w:tcPr>
          <w:p w14:paraId="08F2CC40" w14:textId="345F60ED" w:rsidR="003D4B53" w:rsidRDefault="003D4B53" w:rsidP="0080266D">
            <w:pPr>
              <w:tabs>
                <w:tab w:val="left" w:pos="9000"/>
              </w:tabs>
              <w:jc w:val="center"/>
              <w:rPr>
                <w:sz w:val="24"/>
                <w:szCs w:val="24"/>
              </w:rPr>
            </w:pPr>
            <w:r>
              <w:rPr>
                <w:sz w:val="24"/>
                <w:szCs w:val="24"/>
              </w:rPr>
              <w:t>1.3</w:t>
            </w:r>
          </w:p>
        </w:tc>
      </w:tr>
      <w:tr w:rsidR="0080266D" w14:paraId="468A3560" w14:textId="77777777" w:rsidTr="0080266D">
        <w:trPr>
          <w:jc w:val="center"/>
        </w:trPr>
        <w:tc>
          <w:tcPr>
            <w:tcW w:w="1593" w:type="dxa"/>
          </w:tcPr>
          <w:p w14:paraId="3DB7F104" w14:textId="75A57774" w:rsidR="003D4B53" w:rsidRPr="003D4B53" w:rsidRDefault="003D4B53" w:rsidP="0080266D">
            <w:pPr>
              <w:tabs>
                <w:tab w:val="left" w:pos="9000"/>
              </w:tabs>
              <w:jc w:val="right"/>
              <w:rPr>
                <w:b/>
                <w:sz w:val="24"/>
                <w:szCs w:val="24"/>
              </w:rPr>
            </w:pPr>
            <w:r w:rsidRPr="003D4B53">
              <w:rPr>
                <w:b/>
                <w:sz w:val="24"/>
                <w:szCs w:val="24"/>
              </w:rPr>
              <w:t>Oil</w:t>
            </w:r>
          </w:p>
        </w:tc>
        <w:tc>
          <w:tcPr>
            <w:tcW w:w="1215" w:type="dxa"/>
          </w:tcPr>
          <w:p w14:paraId="54A606E3" w14:textId="67E48B48" w:rsidR="003D4B53" w:rsidRDefault="003D4B53" w:rsidP="0080266D">
            <w:pPr>
              <w:tabs>
                <w:tab w:val="left" w:pos="9000"/>
              </w:tabs>
              <w:jc w:val="center"/>
              <w:rPr>
                <w:sz w:val="24"/>
                <w:szCs w:val="24"/>
              </w:rPr>
            </w:pPr>
            <w:r>
              <w:rPr>
                <w:sz w:val="24"/>
                <w:szCs w:val="24"/>
              </w:rPr>
              <w:t>0.8775</w:t>
            </w:r>
          </w:p>
        </w:tc>
        <w:tc>
          <w:tcPr>
            <w:tcW w:w="1180" w:type="dxa"/>
          </w:tcPr>
          <w:p w14:paraId="0063038B" w14:textId="45C049F5" w:rsidR="003D4B53" w:rsidRDefault="003D4B53" w:rsidP="0080266D">
            <w:pPr>
              <w:tabs>
                <w:tab w:val="left" w:pos="9000"/>
              </w:tabs>
              <w:jc w:val="center"/>
              <w:rPr>
                <w:sz w:val="24"/>
                <w:szCs w:val="24"/>
              </w:rPr>
            </w:pPr>
            <w:r>
              <w:rPr>
                <w:sz w:val="24"/>
                <w:szCs w:val="24"/>
              </w:rPr>
              <w:t>0.6241</w:t>
            </w:r>
          </w:p>
        </w:tc>
        <w:tc>
          <w:tcPr>
            <w:tcW w:w="1160" w:type="dxa"/>
          </w:tcPr>
          <w:p w14:paraId="718B8D23" w14:textId="7CE21F0E" w:rsidR="003D4B53" w:rsidRDefault="003D4B53" w:rsidP="0080266D">
            <w:pPr>
              <w:tabs>
                <w:tab w:val="left" w:pos="9000"/>
              </w:tabs>
              <w:jc w:val="center"/>
              <w:rPr>
                <w:sz w:val="24"/>
                <w:szCs w:val="24"/>
              </w:rPr>
            </w:pPr>
            <w:r>
              <w:rPr>
                <w:sz w:val="24"/>
                <w:szCs w:val="24"/>
              </w:rPr>
              <w:t>0.5485</w:t>
            </w:r>
          </w:p>
        </w:tc>
        <w:tc>
          <w:tcPr>
            <w:tcW w:w="1180" w:type="dxa"/>
          </w:tcPr>
          <w:p w14:paraId="11B266EA" w14:textId="09CE613D" w:rsidR="003D4B53" w:rsidRDefault="003D4B53" w:rsidP="0080266D">
            <w:pPr>
              <w:tabs>
                <w:tab w:val="left" w:pos="9000"/>
              </w:tabs>
              <w:jc w:val="center"/>
              <w:rPr>
                <w:sz w:val="24"/>
                <w:szCs w:val="24"/>
              </w:rPr>
            </w:pPr>
            <w:r>
              <w:rPr>
                <w:sz w:val="24"/>
                <w:szCs w:val="24"/>
              </w:rPr>
              <w:t>0.2012</w:t>
            </w:r>
          </w:p>
        </w:tc>
        <w:tc>
          <w:tcPr>
            <w:tcW w:w="1160" w:type="dxa"/>
          </w:tcPr>
          <w:p w14:paraId="0422CFCA" w14:textId="4D750C18" w:rsidR="003D4B53" w:rsidRDefault="003D4B53" w:rsidP="0080266D">
            <w:pPr>
              <w:tabs>
                <w:tab w:val="left" w:pos="9000"/>
              </w:tabs>
              <w:jc w:val="center"/>
              <w:rPr>
                <w:sz w:val="24"/>
                <w:szCs w:val="24"/>
              </w:rPr>
            </w:pPr>
            <w:r>
              <w:rPr>
                <w:sz w:val="24"/>
                <w:szCs w:val="24"/>
              </w:rPr>
              <w:t>0.6</w:t>
            </w:r>
          </w:p>
        </w:tc>
      </w:tr>
      <w:tr w:rsidR="0080266D" w14:paraId="30E1C3E4" w14:textId="77777777" w:rsidTr="0080266D">
        <w:trPr>
          <w:jc w:val="center"/>
        </w:trPr>
        <w:tc>
          <w:tcPr>
            <w:tcW w:w="1593" w:type="dxa"/>
          </w:tcPr>
          <w:p w14:paraId="3F2E782B" w14:textId="3AE06B72" w:rsidR="003D4B53" w:rsidRPr="003D4B53" w:rsidRDefault="003D4B53" w:rsidP="0080266D">
            <w:pPr>
              <w:tabs>
                <w:tab w:val="left" w:pos="9000"/>
              </w:tabs>
              <w:jc w:val="right"/>
              <w:rPr>
                <w:b/>
                <w:sz w:val="24"/>
                <w:szCs w:val="24"/>
              </w:rPr>
            </w:pPr>
            <w:r w:rsidRPr="003D4B53">
              <w:rPr>
                <w:b/>
                <w:sz w:val="24"/>
                <w:szCs w:val="24"/>
              </w:rPr>
              <w:t>Other fossil</w:t>
            </w:r>
          </w:p>
        </w:tc>
        <w:tc>
          <w:tcPr>
            <w:tcW w:w="1215" w:type="dxa"/>
          </w:tcPr>
          <w:p w14:paraId="74C4F0B8" w14:textId="4E86C988" w:rsidR="003D4B53" w:rsidRDefault="003D4B53" w:rsidP="0080266D">
            <w:pPr>
              <w:tabs>
                <w:tab w:val="left" w:pos="9000"/>
              </w:tabs>
              <w:jc w:val="center"/>
              <w:rPr>
                <w:sz w:val="24"/>
                <w:szCs w:val="24"/>
              </w:rPr>
            </w:pPr>
            <w:r>
              <w:rPr>
                <w:sz w:val="24"/>
                <w:szCs w:val="24"/>
              </w:rPr>
              <w:t>0.2246</w:t>
            </w:r>
          </w:p>
        </w:tc>
        <w:tc>
          <w:tcPr>
            <w:tcW w:w="1180" w:type="dxa"/>
          </w:tcPr>
          <w:p w14:paraId="4253C0A6" w14:textId="23EE4D6F" w:rsidR="003D4B53" w:rsidRDefault="003D4B53" w:rsidP="0080266D">
            <w:pPr>
              <w:tabs>
                <w:tab w:val="left" w:pos="9000"/>
              </w:tabs>
              <w:jc w:val="center"/>
              <w:rPr>
                <w:sz w:val="24"/>
                <w:szCs w:val="24"/>
              </w:rPr>
            </w:pPr>
            <w:r>
              <w:rPr>
                <w:sz w:val="24"/>
                <w:szCs w:val="24"/>
              </w:rPr>
              <w:t>0.1921</w:t>
            </w:r>
          </w:p>
        </w:tc>
        <w:tc>
          <w:tcPr>
            <w:tcW w:w="1160" w:type="dxa"/>
          </w:tcPr>
          <w:p w14:paraId="2212793F" w14:textId="081D6BCD" w:rsidR="003D4B53" w:rsidRDefault="003D4B53" w:rsidP="0080266D">
            <w:pPr>
              <w:tabs>
                <w:tab w:val="left" w:pos="9000"/>
              </w:tabs>
              <w:jc w:val="center"/>
              <w:rPr>
                <w:sz w:val="24"/>
                <w:szCs w:val="24"/>
              </w:rPr>
            </w:pPr>
            <w:r>
              <w:rPr>
                <w:sz w:val="24"/>
                <w:szCs w:val="24"/>
              </w:rPr>
              <w:t>0.1706</w:t>
            </w:r>
          </w:p>
        </w:tc>
        <w:tc>
          <w:tcPr>
            <w:tcW w:w="1180" w:type="dxa"/>
          </w:tcPr>
          <w:p w14:paraId="39C230AA" w14:textId="6BBD4E18" w:rsidR="003D4B53" w:rsidRDefault="003D4B53" w:rsidP="0080266D">
            <w:pPr>
              <w:tabs>
                <w:tab w:val="left" w:pos="9000"/>
              </w:tabs>
              <w:jc w:val="center"/>
              <w:rPr>
                <w:sz w:val="24"/>
                <w:szCs w:val="24"/>
              </w:rPr>
            </w:pPr>
            <w:r>
              <w:rPr>
                <w:sz w:val="24"/>
                <w:szCs w:val="24"/>
              </w:rPr>
              <w:t>0.2173</w:t>
            </w:r>
          </w:p>
        </w:tc>
        <w:tc>
          <w:tcPr>
            <w:tcW w:w="1160" w:type="dxa"/>
          </w:tcPr>
          <w:p w14:paraId="69D1CE3C" w14:textId="5869D884" w:rsidR="003D4B53" w:rsidRDefault="003D4B53" w:rsidP="0080266D">
            <w:pPr>
              <w:tabs>
                <w:tab w:val="left" w:pos="9000"/>
              </w:tabs>
              <w:jc w:val="center"/>
              <w:rPr>
                <w:sz w:val="24"/>
                <w:szCs w:val="24"/>
              </w:rPr>
            </w:pPr>
            <w:r>
              <w:rPr>
                <w:sz w:val="24"/>
                <w:szCs w:val="24"/>
              </w:rPr>
              <w:t>0.3</w:t>
            </w:r>
          </w:p>
        </w:tc>
      </w:tr>
      <w:tr w:rsidR="0080266D" w14:paraId="0604A725" w14:textId="77777777" w:rsidTr="0080266D">
        <w:trPr>
          <w:jc w:val="center"/>
        </w:trPr>
        <w:tc>
          <w:tcPr>
            <w:tcW w:w="1593" w:type="dxa"/>
          </w:tcPr>
          <w:p w14:paraId="6024D17A" w14:textId="06BBF8B3" w:rsidR="003D4B53" w:rsidRPr="003D4B53" w:rsidRDefault="003D4B53" w:rsidP="0080266D">
            <w:pPr>
              <w:tabs>
                <w:tab w:val="left" w:pos="9000"/>
              </w:tabs>
              <w:jc w:val="right"/>
              <w:rPr>
                <w:b/>
                <w:sz w:val="24"/>
                <w:szCs w:val="24"/>
              </w:rPr>
            </w:pPr>
            <w:r w:rsidRPr="003D4B53">
              <w:rPr>
                <w:b/>
                <w:sz w:val="24"/>
                <w:szCs w:val="24"/>
              </w:rPr>
              <w:t>Solar</w:t>
            </w:r>
          </w:p>
        </w:tc>
        <w:tc>
          <w:tcPr>
            <w:tcW w:w="1215" w:type="dxa"/>
          </w:tcPr>
          <w:p w14:paraId="7F851261" w14:textId="74409270" w:rsidR="003D4B53" w:rsidRDefault="003D4B53" w:rsidP="0080266D">
            <w:pPr>
              <w:tabs>
                <w:tab w:val="left" w:pos="9000"/>
              </w:tabs>
              <w:jc w:val="center"/>
              <w:rPr>
                <w:sz w:val="24"/>
                <w:szCs w:val="24"/>
              </w:rPr>
            </w:pPr>
            <w:r>
              <w:rPr>
                <w:sz w:val="24"/>
                <w:szCs w:val="24"/>
              </w:rPr>
              <w:t>0</w:t>
            </w:r>
          </w:p>
        </w:tc>
        <w:tc>
          <w:tcPr>
            <w:tcW w:w="1180" w:type="dxa"/>
          </w:tcPr>
          <w:p w14:paraId="2F1F0402" w14:textId="6C3EC15B" w:rsidR="003D4B53" w:rsidRDefault="003D4B53" w:rsidP="0080266D">
            <w:pPr>
              <w:tabs>
                <w:tab w:val="left" w:pos="9000"/>
              </w:tabs>
              <w:jc w:val="center"/>
              <w:rPr>
                <w:sz w:val="24"/>
                <w:szCs w:val="24"/>
              </w:rPr>
            </w:pPr>
            <w:r>
              <w:rPr>
                <w:sz w:val="24"/>
                <w:szCs w:val="24"/>
              </w:rPr>
              <w:t>0.0016</w:t>
            </w:r>
          </w:p>
        </w:tc>
        <w:tc>
          <w:tcPr>
            <w:tcW w:w="1160" w:type="dxa"/>
          </w:tcPr>
          <w:p w14:paraId="53E98270" w14:textId="3E8CA4D6" w:rsidR="003D4B53" w:rsidRDefault="003D4B53" w:rsidP="0080266D">
            <w:pPr>
              <w:tabs>
                <w:tab w:val="left" w:pos="9000"/>
              </w:tabs>
              <w:jc w:val="center"/>
              <w:rPr>
                <w:sz w:val="24"/>
                <w:szCs w:val="24"/>
              </w:rPr>
            </w:pPr>
            <w:r>
              <w:rPr>
                <w:sz w:val="24"/>
                <w:szCs w:val="24"/>
              </w:rPr>
              <w:t>0.0036</w:t>
            </w:r>
          </w:p>
        </w:tc>
        <w:tc>
          <w:tcPr>
            <w:tcW w:w="1180" w:type="dxa"/>
          </w:tcPr>
          <w:p w14:paraId="403DE7FE" w14:textId="349C8B6C" w:rsidR="003D4B53" w:rsidRDefault="003D4B53" w:rsidP="0080266D">
            <w:pPr>
              <w:tabs>
                <w:tab w:val="left" w:pos="9000"/>
              </w:tabs>
              <w:jc w:val="center"/>
              <w:rPr>
                <w:sz w:val="24"/>
                <w:szCs w:val="24"/>
              </w:rPr>
            </w:pPr>
            <w:r>
              <w:rPr>
                <w:sz w:val="24"/>
                <w:szCs w:val="24"/>
              </w:rPr>
              <w:t>0.038</w:t>
            </w:r>
          </w:p>
        </w:tc>
        <w:tc>
          <w:tcPr>
            <w:tcW w:w="1160" w:type="dxa"/>
          </w:tcPr>
          <w:p w14:paraId="21F9C4EE" w14:textId="749D745D" w:rsidR="003D4B53" w:rsidRDefault="003D4B53" w:rsidP="0080266D">
            <w:pPr>
              <w:tabs>
                <w:tab w:val="left" w:pos="9000"/>
              </w:tabs>
              <w:jc w:val="center"/>
              <w:rPr>
                <w:sz w:val="24"/>
                <w:szCs w:val="24"/>
              </w:rPr>
            </w:pPr>
            <w:r>
              <w:rPr>
                <w:sz w:val="24"/>
                <w:szCs w:val="24"/>
              </w:rPr>
              <w:t>0.2</w:t>
            </w:r>
          </w:p>
        </w:tc>
      </w:tr>
      <w:tr w:rsidR="0080266D" w14:paraId="23AD5F55" w14:textId="77777777" w:rsidTr="0080266D">
        <w:trPr>
          <w:jc w:val="center"/>
        </w:trPr>
        <w:tc>
          <w:tcPr>
            <w:tcW w:w="1593" w:type="dxa"/>
          </w:tcPr>
          <w:p w14:paraId="7B8CF142" w14:textId="3922D1AB" w:rsidR="003D4B53" w:rsidRPr="003D4B53" w:rsidRDefault="003D4B53" w:rsidP="0080266D">
            <w:pPr>
              <w:tabs>
                <w:tab w:val="left" w:pos="9000"/>
              </w:tabs>
              <w:jc w:val="right"/>
              <w:rPr>
                <w:b/>
                <w:sz w:val="24"/>
                <w:szCs w:val="24"/>
              </w:rPr>
            </w:pPr>
            <w:r w:rsidRPr="003D4B53">
              <w:rPr>
                <w:b/>
                <w:sz w:val="24"/>
                <w:szCs w:val="24"/>
              </w:rPr>
              <w:t>Wind</w:t>
            </w:r>
          </w:p>
        </w:tc>
        <w:tc>
          <w:tcPr>
            <w:tcW w:w="1215" w:type="dxa"/>
          </w:tcPr>
          <w:p w14:paraId="6910615E" w14:textId="52906C3E" w:rsidR="003D4B53" w:rsidRDefault="003D4B53" w:rsidP="0080266D">
            <w:pPr>
              <w:tabs>
                <w:tab w:val="left" w:pos="9000"/>
              </w:tabs>
              <w:jc w:val="center"/>
              <w:rPr>
                <w:sz w:val="24"/>
                <w:szCs w:val="24"/>
              </w:rPr>
            </w:pPr>
            <w:r>
              <w:rPr>
                <w:sz w:val="24"/>
                <w:szCs w:val="24"/>
              </w:rPr>
              <w:t>0</w:t>
            </w:r>
          </w:p>
        </w:tc>
        <w:tc>
          <w:tcPr>
            <w:tcW w:w="1180" w:type="dxa"/>
          </w:tcPr>
          <w:p w14:paraId="34743EAC" w14:textId="09956696" w:rsidR="003D4B53" w:rsidRDefault="003D4B53" w:rsidP="0080266D">
            <w:pPr>
              <w:tabs>
                <w:tab w:val="left" w:pos="9000"/>
              </w:tabs>
              <w:jc w:val="center"/>
              <w:rPr>
                <w:sz w:val="24"/>
                <w:szCs w:val="24"/>
              </w:rPr>
            </w:pPr>
            <w:r>
              <w:rPr>
                <w:sz w:val="24"/>
                <w:szCs w:val="24"/>
              </w:rPr>
              <w:t>0</w:t>
            </w:r>
          </w:p>
        </w:tc>
        <w:tc>
          <w:tcPr>
            <w:tcW w:w="1160" w:type="dxa"/>
          </w:tcPr>
          <w:p w14:paraId="6A95190F" w14:textId="438D36B9" w:rsidR="003D4B53" w:rsidRDefault="003D4B53" w:rsidP="0080266D">
            <w:pPr>
              <w:tabs>
                <w:tab w:val="left" w:pos="9000"/>
              </w:tabs>
              <w:jc w:val="center"/>
              <w:rPr>
                <w:sz w:val="24"/>
                <w:szCs w:val="24"/>
              </w:rPr>
            </w:pPr>
            <w:r>
              <w:rPr>
                <w:sz w:val="24"/>
                <w:szCs w:val="24"/>
              </w:rPr>
              <w:t>0</w:t>
            </w:r>
          </w:p>
        </w:tc>
        <w:tc>
          <w:tcPr>
            <w:tcW w:w="1180" w:type="dxa"/>
          </w:tcPr>
          <w:p w14:paraId="74EF46B6" w14:textId="1B7933D2" w:rsidR="003D4B53" w:rsidRDefault="003D4B53" w:rsidP="0080266D">
            <w:pPr>
              <w:tabs>
                <w:tab w:val="left" w:pos="9000"/>
              </w:tabs>
              <w:jc w:val="center"/>
              <w:rPr>
                <w:sz w:val="24"/>
                <w:szCs w:val="24"/>
              </w:rPr>
            </w:pPr>
            <w:r>
              <w:rPr>
                <w:sz w:val="24"/>
                <w:szCs w:val="24"/>
              </w:rPr>
              <w:t>0</w:t>
            </w:r>
          </w:p>
        </w:tc>
        <w:tc>
          <w:tcPr>
            <w:tcW w:w="1160" w:type="dxa"/>
          </w:tcPr>
          <w:p w14:paraId="1A78B466" w14:textId="13C5C640" w:rsidR="003D4B53" w:rsidRDefault="003D4B53" w:rsidP="0080266D">
            <w:pPr>
              <w:tabs>
                <w:tab w:val="left" w:pos="9000"/>
              </w:tabs>
              <w:jc w:val="center"/>
              <w:rPr>
                <w:sz w:val="24"/>
                <w:szCs w:val="24"/>
              </w:rPr>
            </w:pPr>
            <w:r>
              <w:rPr>
                <w:sz w:val="24"/>
                <w:szCs w:val="24"/>
              </w:rPr>
              <w:t>0</w:t>
            </w:r>
          </w:p>
        </w:tc>
      </w:tr>
      <w:tr w:rsidR="0080266D" w14:paraId="22F841CB" w14:textId="77777777" w:rsidTr="0080266D">
        <w:trPr>
          <w:jc w:val="center"/>
        </w:trPr>
        <w:tc>
          <w:tcPr>
            <w:tcW w:w="1593" w:type="dxa"/>
          </w:tcPr>
          <w:p w14:paraId="4D2F1526" w14:textId="5C4603A5" w:rsidR="003D4B53" w:rsidRPr="003D4B53" w:rsidRDefault="003D4B53" w:rsidP="0080266D">
            <w:pPr>
              <w:tabs>
                <w:tab w:val="left" w:pos="9000"/>
              </w:tabs>
              <w:jc w:val="right"/>
              <w:rPr>
                <w:b/>
                <w:sz w:val="24"/>
                <w:szCs w:val="24"/>
              </w:rPr>
            </w:pPr>
            <w:r w:rsidRPr="003D4B53">
              <w:rPr>
                <w:b/>
                <w:sz w:val="24"/>
                <w:szCs w:val="24"/>
              </w:rPr>
              <w:t>Geothermal</w:t>
            </w:r>
          </w:p>
        </w:tc>
        <w:tc>
          <w:tcPr>
            <w:tcW w:w="1215" w:type="dxa"/>
          </w:tcPr>
          <w:p w14:paraId="224B2168" w14:textId="0506CADB" w:rsidR="003D4B53" w:rsidRDefault="003D4B53" w:rsidP="0080266D">
            <w:pPr>
              <w:tabs>
                <w:tab w:val="left" w:pos="9000"/>
              </w:tabs>
              <w:jc w:val="center"/>
              <w:rPr>
                <w:sz w:val="24"/>
                <w:szCs w:val="24"/>
              </w:rPr>
            </w:pPr>
            <w:r>
              <w:rPr>
                <w:sz w:val="24"/>
                <w:szCs w:val="24"/>
              </w:rPr>
              <w:t>0</w:t>
            </w:r>
          </w:p>
        </w:tc>
        <w:tc>
          <w:tcPr>
            <w:tcW w:w="1180" w:type="dxa"/>
          </w:tcPr>
          <w:p w14:paraId="374D5B03" w14:textId="70A0D4F9" w:rsidR="003D4B53" w:rsidRDefault="003D4B53" w:rsidP="0080266D">
            <w:pPr>
              <w:tabs>
                <w:tab w:val="left" w:pos="9000"/>
              </w:tabs>
              <w:jc w:val="center"/>
              <w:rPr>
                <w:sz w:val="24"/>
                <w:szCs w:val="24"/>
              </w:rPr>
            </w:pPr>
            <w:r>
              <w:rPr>
                <w:sz w:val="24"/>
                <w:szCs w:val="24"/>
              </w:rPr>
              <w:t>0</w:t>
            </w:r>
          </w:p>
        </w:tc>
        <w:tc>
          <w:tcPr>
            <w:tcW w:w="1160" w:type="dxa"/>
          </w:tcPr>
          <w:p w14:paraId="2DA95FD4" w14:textId="6517551B" w:rsidR="003D4B53" w:rsidRDefault="003D4B53" w:rsidP="0080266D">
            <w:pPr>
              <w:tabs>
                <w:tab w:val="left" w:pos="9000"/>
              </w:tabs>
              <w:jc w:val="center"/>
              <w:rPr>
                <w:sz w:val="24"/>
                <w:szCs w:val="24"/>
              </w:rPr>
            </w:pPr>
            <w:r>
              <w:rPr>
                <w:sz w:val="24"/>
                <w:szCs w:val="24"/>
              </w:rPr>
              <w:t>0</w:t>
            </w:r>
          </w:p>
        </w:tc>
        <w:tc>
          <w:tcPr>
            <w:tcW w:w="1180" w:type="dxa"/>
          </w:tcPr>
          <w:p w14:paraId="55CE0468" w14:textId="4B28E85D" w:rsidR="003D4B53" w:rsidRDefault="003D4B53" w:rsidP="0080266D">
            <w:pPr>
              <w:tabs>
                <w:tab w:val="left" w:pos="9000"/>
              </w:tabs>
              <w:jc w:val="center"/>
              <w:rPr>
                <w:sz w:val="24"/>
                <w:szCs w:val="24"/>
              </w:rPr>
            </w:pPr>
            <w:r>
              <w:rPr>
                <w:sz w:val="24"/>
                <w:szCs w:val="24"/>
              </w:rPr>
              <w:t>0</w:t>
            </w:r>
          </w:p>
        </w:tc>
        <w:tc>
          <w:tcPr>
            <w:tcW w:w="1160" w:type="dxa"/>
          </w:tcPr>
          <w:p w14:paraId="5B8BF30E" w14:textId="7B6725C7" w:rsidR="003D4B53" w:rsidRDefault="003D4B53" w:rsidP="0080266D">
            <w:pPr>
              <w:tabs>
                <w:tab w:val="left" w:pos="9000"/>
              </w:tabs>
              <w:jc w:val="center"/>
              <w:rPr>
                <w:sz w:val="24"/>
                <w:szCs w:val="24"/>
              </w:rPr>
            </w:pPr>
            <w:r>
              <w:rPr>
                <w:sz w:val="24"/>
                <w:szCs w:val="24"/>
              </w:rPr>
              <w:t>0</w:t>
            </w:r>
          </w:p>
        </w:tc>
      </w:tr>
      <w:tr w:rsidR="0080266D" w14:paraId="071AFDC7" w14:textId="77777777" w:rsidTr="0080266D">
        <w:trPr>
          <w:jc w:val="center"/>
        </w:trPr>
        <w:tc>
          <w:tcPr>
            <w:tcW w:w="1593" w:type="dxa"/>
          </w:tcPr>
          <w:p w14:paraId="2900DD31" w14:textId="222E3CEF" w:rsidR="003D4B53" w:rsidRPr="003D4B53" w:rsidRDefault="003D4B53" w:rsidP="0080266D">
            <w:pPr>
              <w:tabs>
                <w:tab w:val="left" w:pos="9000"/>
              </w:tabs>
              <w:jc w:val="right"/>
              <w:rPr>
                <w:b/>
                <w:sz w:val="24"/>
                <w:szCs w:val="24"/>
              </w:rPr>
            </w:pPr>
            <w:r w:rsidRPr="003D4B53">
              <w:rPr>
                <w:b/>
                <w:sz w:val="24"/>
                <w:szCs w:val="24"/>
              </w:rPr>
              <w:t>Unknown / Purchased</w:t>
            </w:r>
          </w:p>
        </w:tc>
        <w:tc>
          <w:tcPr>
            <w:tcW w:w="1215" w:type="dxa"/>
          </w:tcPr>
          <w:p w14:paraId="21326F7A" w14:textId="62E46CFF" w:rsidR="003D4B53" w:rsidRDefault="003D4B53" w:rsidP="0080266D">
            <w:pPr>
              <w:tabs>
                <w:tab w:val="left" w:pos="9000"/>
              </w:tabs>
              <w:jc w:val="center"/>
              <w:rPr>
                <w:sz w:val="24"/>
                <w:szCs w:val="24"/>
              </w:rPr>
            </w:pPr>
            <w:r>
              <w:rPr>
                <w:sz w:val="24"/>
                <w:szCs w:val="24"/>
              </w:rPr>
              <w:t>0.0786</w:t>
            </w:r>
          </w:p>
        </w:tc>
        <w:tc>
          <w:tcPr>
            <w:tcW w:w="1180" w:type="dxa"/>
          </w:tcPr>
          <w:p w14:paraId="26EB6A85" w14:textId="70365A1C" w:rsidR="003D4B53" w:rsidRDefault="003D4B53" w:rsidP="0080266D">
            <w:pPr>
              <w:tabs>
                <w:tab w:val="left" w:pos="9000"/>
              </w:tabs>
              <w:jc w:val="center"/>
              <w:rPr>
                <w:sz w:val="24"/>
                <w:szCs w:val="24"/>
              </w:rPr>
            </w:pPr>
            <w:r>
              <w:rPr>
                <w:sz w:val="24"/>
                <w:szCs w:val="24"/>
              </w:rPr>
              <w:t>0.0678</w:t>
            </w:r>
          </w:p>
        </w:tc>
        <w:tc>
          <w:tcPr>
            <w:tcW w:w="1160" w:type="dxa"/>
          </w:tcPr>
          <w:p w14:paraId="306249EF" w14:textId="702BDE74" w:rsidR="003D4B53" w:rsidRDefault="003D4B53" w:rsidP="0080266D">
            <w:pPr>
              <w:tabs>
                <w:tab w:val="left" w:pos="9000"/>
              </w:tabs>
              <w:jc w:val="center"/>
              <w:rPr>
                <w:sz w:val="24"/>
                <w:szCs w:val="24"/>
              </w:rPr>
            </w:pPr>
            <w:r>
              <w:rPr>
                <w:sz w:val="24"/>
                <w:szCs w:val="24"/>
              </w:rPr>
              <w:t>0.1215</w:t>
            </w:r>
          </w:p>
        </w:tc>
        <w:tc>
          <w:tcPr>
            <w:tcW w:w="1180" w:type="dxa"/>
          </w:tcPr>
          <w:p w14:paraId="45BB1297" w14:textId="5E01F2C3" w:rsidR="003D4B53" w:rsidRDefault="003D4B53" w:rsidP="0080266D">
            <w:pPr>
              <w:tabs>
                <w:tab w:val="left" w:pos="9000"/>
              </w:tabs>
              <w:jc w:val="center"/>
              <w:rPr>
                <w:sz w:val="24"/>
                <w:szCs w:val="24"/>
              </w:rPr>
            </w:pPr>
            <w:r>
              <w:rPr>
                <w:sz w:val="24"/>
                <w:szCs w:val="24"/>
              </w:rPr>
              <w:t>0.1074</w:t>
            </w:r>
          </w:p>
        </w:tc>
        <w:tc>
          <w:tcPr>
            <w:tcW w:w="1160" w:type="dxa"/>
          </w:tcPr>
          <w:p w14:paraId="34C5109C" w14:textId="0BCB0EF7" w:rsidR="003D4B53" w:rsidRDefault="003D4B53" w:rsidP="0080266D">
            <w:pPr>
              <w:tabs>
                <w:tab w:val="left" w:pos="9000"/>
              </w:tabs>
              <w:jc w:val="center"/>
              <w:rPr>
                <w:sz w:val="24"/>
                <w:szCs w:val="24"/>
              </w:rPr>
            </w:pPr>
            <w:r>
              <w:rPr>
                <w:sz w:val="24"/>
                <w:szCs w:val="24"/>
              </w:rPr>
              <w:t>0.1</w:t>
            </w:r>
          </w:p>
        </w:tc>
      </w:tr>
    </w:tbl>
    <w:p w14:paraId="2131D0A3" w14:textId="77777777" w:rsidR="003541D5" w:rsidRDefault="003541D5" w:rsidP="0080266D">
      <w:pPr>
        <w:tabs>
          <w:tab w:val="left" w:pos="9000"/>
        </w:tabs>
        <w:rPr>
          <w:sz w:val="24"/>
          <w:szCs w:val="24"/>
        </w:rPr>
      </w:pPr>
    </w:p>
    <w:p w14:paraId="7ACBD56B" w14:textId="2EF02EAD" w:rsidR="00836F9E" w:rsidRDefault="00C26200" w:rsidP="0080266D">
      <w:pPr>
        <w:tabs>
          <w:tab w:val="left" w:pos="9000"/>
        </w:tabs>
        <w:rPr>
          <w:sz w:val="24"/>
          <w:szCs w:val="24"/>
        </w:rPr>
      </w:pPr>
      <w:r>
        <w:rPr>
          <w:sz w:val="24"/>
          <w:szCs w:val="24"/>
        </w:rPr>
        <w:t xml:space="preserve">As is clear from the tables, the </w:t>
      </w:r>
      <w:r w:rsidR="00175485">
        <w:rPr>
          <w:sz w:val="24"/>
          <w:szCs w:val="24"/>
        </w:rPr>
        <w:t>carbon emissions</w:t>
      </w:r>
      <w:r>
        <w:rPr>
          <w:sz w:val="24"/>
          <w:szCs w:val="24"/>
        </w:rPr>
        <w:t xml:space="preserve"> intensity of electricity generation in Carrboro’s region has been declining over the last ten years. This is largely due to </w:t>
      </w:r>
      <w:r w:rsidR="009008BC">
        <w:rPr>
          <w:sz w:val="24"/>
          <w:szCs w:val="24"/>
        </w:rPr>
        <w:t>the declining influence of coal, which fell from producing over half of the electricity in the SRVC region in 2007 to producin</w:t>
      </w:r>
      <w:r w:rsidR="00A95D56">
        <w:rPr>
          <w:sz w:val="24"/>
          <w:szCs w:val="24"/>
        </w:rPr>
        <w:t>g</w:t>
      </w:r>
      <w:r w:rsidR="009008BC">
        <w:rPr>
          <w:sz w:val="24"/>
          <w:szCs w:val="24"/>
        </w:rPr>
        <w:t xml:space="preserve"> under a third of the electricity in 2014. To replace the declining production of coal, natural gas has gone from accounting for roughly 7% of the region’s electricity in 2007 to now accounting for over 20%. These two changes </w:t>
      </w:r>
      <w:r>
        <w:rPr>
          <w:sz w:val="24"/>
          <w:szCs w:val="24"/>
        </w:rPr>
        <w:t>combined with the steady carbon-free electricity production of nuclear in the area</w:t>
      </w:r>
      <w:r w:rsidR="009008BC">
        <w:rPr>
          <w:sz w:val="24"/>
          <w:szCs w:val="24"/>
        </w:rPr>
        <w:t xml:space="preserve"> mean that emissions per kWh in the SRVC region are</w:t>
      </w:r>
      <w:r w:rsidR="00A95D56">
        <w:rPr>
          <w:sz w:val="24"/>
          <w:szCs w:val="24"/>
        </w:rPr>
        <w:t xml:space="preserve"> roughly 24%</w:t>
      </w:r>
      <w:r w:rsidR="009008BC">
        <w:rPr>
          <w:sz w:val="24"/>
          <w:szCs w:val="24"/>
        </w:rPr>
        <w:t xml:space="preserve"> lower than the national average. Applying this data to previous inventories will change </w:t>
      </w:r>
      <w:r w:rsidR="00175485">
        <w:rPr>
          <w:sz w:val="24"/>
          <w:szCs w:val="24"/>
        </w:rPr>
        <w:t xml:space="preserve">the Town’s emissions profile, given that electricity usage accounts for </w:t>
      </w:r>
      <w:r w:rsidR="000963A3">
        <w:rPr>
          <w:sz w:val="24"/>
          <w:szCs w:val="24"/>
        </w:rPr>
        <w:t xml:space="preserve">roughly 50% </w:t>
      </w:r>
      <w:r w:rsidR="00175485">
        <w:rPr>
          <w:sz w:val="24"/>
          <w:szCs w:val="24"/>
        </w:rPr>
        <w:t xml:space="preserve">of the Town’s emissions. </w:t>
      </w:r>
    </w:p>
    <w:p w14:paraId="0411B981" w14:textId="77777777" w:rsidR="00184F4C" w:rsidRDefault="00184F4C" w:rsidP="0080266D">
      <w:pPr>
        <w:tabs>
          <w:tab w:val="left" w:pos="9000"/>
        </w:tabs>
        <w:rPr>
          <w:sz w:val="24"/>
          <w:szCs w:val="24"/>
        </w:rPr>
      </w:pPr>
    </w:p>
    <w:p w14:paraId="204C521A" w14:textId="5BFCF5EF" w:rsidR="00CB20ED" w:rsidRPr="00CB20ED" w:rsidRDefault="00C26200" w:rsidP="0080266D">
      <w:pPr>
        <w:tabs>
          <w:tab w:val="left" w:pos="9000"/>
        </w:tabs>
        <w:rPr>
          <w:sz w:val="24"/>
          <w:szCs w:val="24"/>
        </w:rPr>
      </w:pPr>
      <w:r>
        <w:rPr>
          <w:sz w:val="24"/>
          <w:szCs w:val="24"/>
        </w:rPr>
        <w:t xml:space="preserve">Also of note is the fact that solar electricity production in the region more than doubled from 2009 to 2010, grew tenfold from 2010 to 2012, and grew by another five times from 2012 to 2014, but still only accounts for 0.2% of all electricity generated in the region. </w:t>
      </w:r>
    </w:p>
    <w:p w14:paraId="6ECD468E" w14:textId="77777777" w:rsidR="0080266D" w:rsidRPr="003446A6" w:rsidRDefault="0080266D" w:rsidP="0080266D">
      <w:pPr>
        <w:tabs>
          <w:tab w:val="left" w:pos="9000"/>
        </w:tabs>
        <w:rPr>
          <w:b/>
          <w:sz w:val="24"/>
        </w:rPr>
      </w:pPr>
    </w:p>
    <w:p w14:paraId="53AACB8C" w14:textId="77777777" w:rsidR="00EF3E22" w:rsidRDefault="00EF3E22" w:rsidP="0080266D">
      <w:pPr>
        <w:tabs>
          <w:tab w:val="left" w:pos="9000"/>
        </w:tabs>
        <w:rPr>
          <w:b/>
          <w:sz w:val="24"/>
          <w:u w:val="single"/>
        </w:rPr>
      </w:pPr>
      <w:r w:rsidRPr="003446A6">
        <w:rPr>
          <w:b/>
          <w:sz w:val="24"/>
          <w:u w:val="single"/>
        </w:rPr>
        <w:t>Results</w:t>
      </w:r>
    </w:p>
    <w:p w14:paraId="641AC1A1" w14:textId="77777777" w:rsidR="00C4272E" w:rsidRDefault="00C4272E" w:rsidP="0080266D">
      <w:pPr>
        <w:tabs>
          <w:tab w:val="left" w:pos="9000"/>
        </w:tabs>
        <w:rPr>
          <w:sz w:val="24"/>
        </w:rPr>
      </w:pPr>
    </w:p>
    <w:p w14:paraId="3F570370" w14:textId="38C62C1C" w:rsidR="00EC0E5A" w:rsidRDefault="00EF3E22" w:rsidP="0080266D">
      <w:pPr>
        <w:tabs>
          <w:tab w:val="left" w:pos="1530"/>
          <w:tab w:val="left" w:pos="8640"/>
          <w:tab w:val="left" w:pos="9000"/>
        </w:tabs>
        <w:rPr>
          <w:sz w:val="24"/>
        </w:rPr>
      </w:pPr>
      <w:r>
        <w:rPr>
          <w:sz w:val="24"/>
        </w:rPr>
        <w:t>The conversion factors in the table</w:t>
      </w:r>
      <w:r w:rsidR="00C4272E">
        <w:rPr>
          <w:sz w:val="24"/>
        </w:rPr>
        <w:t>s</w:t>
      </w:r>
      <w:r>
        <w:rPr>
          <w:sz w:val="24"/>
        </w:rPr>
        <w:t xml:space="preserve"> above we</w:t>
      </w:r>
      <w:r w:rsidR="00A33C66">
        <w:rPr>
          <w:sz w:val="24"/>
        </w:rPr>
        <w:t>re applied to all Town electrici</w:t>
      </w:r>
      <w:r>
        <w:rPr>
          <w:sz w:val="24"/>
        </w:rPr>
        <w:t xml:space="preserve">ty, natural gas, and vehicle fuel use as defined by the project scope from </w:t>
      </w:r>
      <w:r w:rsidR="001135CA">
        <w:rPr>
          <w:sz w:val="24"/>
        </w:rPr>
        <w:t>January 2007</w:t>
      </w:r>
      <w:r>
        <w:rPr>
          <w:sz w:val="24"/>
        </w:rPr>
        <w:t xml:space="preserve"> to </w:t>
      </w:r>
      <w:r w:rsidR="00067731">
        <w:rPr>
          <w:sz w:val="24"/>
        </w:rPr>
        <w:t>April</w:t>
      </w:r>
      <w:r w:rsidR="004C4E41">
        <w:rPr>
          <w:sz w:val="24"/>
        </w:rPr>
        <w:t xml:space="preserve"> 2017</w:t>
      </w:r>
      <w:r>
        <w:rPr>
          <w:sz w:val="24"/>
        </w:rPr>
        <w:t xml:space="preserve">. </w:t>
      </w:r>
      <w:r w:rsidR="005F2357">
        <w:rPr>
          <w:sz w:val="24"/>
        </w:rPr>
        <w:t>The</w:t>
      </w:r>
      <w:r w:rsidR="001135CA">
        <w:rPr>
          <w:sz w:val="24"/>
        </w:rPr>
        <w:t xml:space="preserve"> Town’s total emissions for 2016</w:t>
      </w:r>
      <w:r w:rsidR="00C72761">
        <w:rPr>
          <w:sz w:val="24"/>
        </w:rPr>
        <w:t xml:space="preserve"> were </w:t>
      </w:r>
      <w:r w:rsidR="001135CA">
        <w:rPr>
          <w:sz w:val="24"/>
        </w:rPr>
        <w:t>1599.4</w:t>
      </w:r>
      <w:r w:rsidR="005F2357">
        <w:rPr>
          <w:sz w:val="24"/>
        </w:rPr>
        <w:t xml:space="preserve"> MTCDE, which was a decrease of </w:t>
      </w:r>
      <w:r w:rsidR="001135CA">
        <w:rPr>
          <w:sz w:val="24"/>
        </w:rPr>
        <w:t>12</w:t>
      </w:r>
      <w:r w:rsidR="005F2357">
        <w:rPr>
          <w:sz w:val="24"/>
        </w:rPr>
        <w:t>.</w:t>
      </w:r>
      <w:r w:rsidR="001135CA">
        <w:rPr>
          <w:sz w:val="24"/>
        </w:rPr>
        <w:t>2</w:t>
      </w:r>
      <w:r w:rsidR="005F2357">
        <w:rPr>
          <w:sz w:val="24"/>
        </w:rPr>
        <w:t xml:space="preserve"> MTCDE or </w:t>
      </w:r>
      <w:r w:rsidR="001135CA">
        <w:rPr>
          <w:sz w:val="24"/>
        </w:rPr>
        <w:t>0.8</w:t>
      </w:r>
      <w:r w:rsidR="005F2357">
        <w:rPr>
          <w:sz w:val="24"/>
        </w:rPr>
        <w:t>% from 201</w:t>
      </w:r>
      <w:r w:rsidR="001135CA">
        <w:rPr>
          <w:sz w:val="24"/>
        </w:rPr>
        <w:t>5</w:t>
      </w:r>
      <w:r w:rsidR="005F2357">
        <w:rPr>
          <w:sz w:val="24"/>
        </w:rPr>
        <w:t xml:space="preserve"> emissions levels. </w:t>
      </w:r>
      <w:r>
        <w:rPr>
          <w:sz w:val="24"/>
        </w:rPr>
        <w:t>Figure 1 shows the Town’s overall an</w:t>
      </w:r>
      <w:r w:rsidR="00DD3B93">
        <w:rPr>
          <w:sz w:val="24"/>
        </w:rPr>
        <w:t>nual em</w:t>
      </w:r>
      <w:r w:rsidR="001135CA">
        <w:rPr>
          <w:sz w:val="24"/>
        </w:rPr>
        <w:t>issions from 2007 to 2016</w:t>
      </w:r>
      <w:r w:rsidR="00175485">
        <w:rPr>
          <w:sz w:val="24"/>
        </w:rPr>
        <w:t>.</w:t>
      </w:r>
    </w:p>
    <w:p w14:paraId="3A574076" w14:textId="77777777" w:rsidR="00774385" w:rsidRDefault="00774385" w:rsidP="0080266D">
      <w:pPr>
        <w:tabs>
          <w:tab w:val="left" w:pos="1530"/>
          <w:tab w:val="left" w:pos="8640"/>
          <w:tab w:val="left" w:pos="9000"/>
        </w:tabs>
        <w:rPr>
          <w:sz w:val="24"/>
        </w:rPr>
      </w:pPr>
    </w:p>
    <w:p w14:paraId="5700F0B3" w14:textId="74A9AB03" w:rsidR="006C12EF" w:rsidRDefault="00774385" w:rsidP="00774385">
      <w:pPr>
        <w:tabs>
          <w:tab w:val="left" w:pos="1530"/>
          <w:tab w:val="left" w:pos="8640"/>
          <w:tab w:val="left" w:pos="9000"/>
        </w:tabs>
        <w:jc w:val="center"/>
        <w:rPr>
          <w:sz w:val="24"/>
        </w:rPr>
      </w:pPr>
      <w:r w:rsidRPr="00E90E01">
        <w:rPr>
          <w:b/>
          <w:sz w:val="24"/>
        </w:rPr>
        <w:t>Figure 1</w:t>
      </w:r>
    </w:p>
    <w:p w14:paraId="624FB1AB" w14:textId="5CFB93B7" w:rsidR="00C4272E" w:rsidRDefault="00175485" w:rsidP="0080266D">
      <w:pPr>
        <w:tabs>
          <w:tab w:val="left" w:pos="1530"/>
          <w:tab w:val="left" w:pos="8640"/>
          <w:tab w:val="left" w:pos="9000"/>
        </w:tabs>
        <w:rPr>
          <w:sz w:val="24"/>
        </w:rPr>
      </w:pPr>
      <w:r>
        <w:rPr>
          <w:noProof/>
          <w:sz w:val="24"/>
        </w:rPr>
        <w:drawing>
          <wp:inline distT="0" distB="0" distL="0" distR="0" wp14:anchorId="0F7571DE" wp14:editId="37C7680E">
            <wp:extent cx="5943600" cy="2405171"/>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405171"/>
                    </a:xfrm>
                    <a:prstGeom prst="rect">
                      <a:avLst/>
                    </a:prstGeom>
                    <a:noFill/>
                    <a:ln>
                      <a:noFill/>
                    </a:ln>
                  </pic:spPr>
                </pic:pic>
              </a:graphicData>
            </a:graphic>
          </wp:inline>
        </w:drawing>
      </w:r>
    </w:p>
    <w:p w14:paraId="4509FC12" w14:textId="361E0FF7" w:rsidR="00EC0E5A" w:rsidRPr="00E90E01" w:rsidRDefault="00EC0E5A" w:rsidP="0080266D">
      <w:pPr>
        <w:tabs>
          <w:tab w:val="left" w:pos="1530"/>
          <w:tab w:val="left" w:pos="9000"/>
        </w:tabs>
        <w:jc w:val="center"/>
        <w:rPr>
          <w:b/>
          <w:sz w:val="24"/>
        </w:rPr>
      </w:pPr>
    </w:p>
    <w:p w14:paraId="0DBEC125" w14:textId="77777777" w:rsidR="00EC0E5A" w:rsidRDefault="00EC0E5A" w:rsidP="0080266D">
      <w:pPr>
        <w:tabs>
          <w:tab w:val="left" w:pos="1530"/>
          <w:tab w:val="left" w:pos="8640"/>
          <w:tab w:val="left" w:pos="9000"/>
        </w:tabs>
        <w:rPr>
          <w:sz w:val="24"/>
        </w:rPr>
      </w:pPr>
    </w:p>
    <w:p w14:paraId="68A38F14" w14:textId="5422F4F8" w:rsidR="00716DCB" w:rsidRDefault="00C4272E" w:rsidP="0080266D">
      <w:pPr>
        <w:tabs>
          <w:tab w:val="left" w:pos="1530"/>
          <w:tab w:val="left" w:pos="8640"/>
          <w:tab w:val="left" w:pos="9000"/>
        </w:tabs>
        <w:rPr>
          <w:sz w:val="24"/>
        </w:rPr>
      </w:pPr>
      <w:r>
        <w:rPr>
          <w:sz w:val="24"/>
        </w:rPr>
        <w:t xml:space="preserve">To </w:t>
      </w:r>
      <w:r w:rsidR="000E4F1A">
        <w:rPr>
          <w:sz w:val="24"/>
        </w:rPr>
        <w:t>illustrate</w:t>
      </w:r>
      <w:r>
        <w:rPr>
          <w:sz w:val="24"/>
        </w:rPr>
        <w:t xml:space="preserve"> the </w:t>
      </w:r>
      <w:r w:rsidR="009008BC">
        <w:rPr>
          <w:sz w:val="24"/>
        </w:rPr>
        <w:t>impact</w:t>
      </w:r>
      <w:r>
        <w:rPr>
          <w:sz w:val="24"/>
        </w:rPr>
        <w:t xml:space="preserve"> of </w:t>
      </w:r>
      <w:r w:rsidR="009008BC">
        <w:rPr>
          <w:sz w:val="24"/>
        </w:rPr>
        <w:t xml:space="preserve">the </w:t>
      </w:r>
      <w:r>
        <w:rPr>
          <w:sz w:val="24"/>
        </w:rPr>
        <w:t xml:space="preserve">changing </w:t>
      </w:r>
      <w:r w:rsidR="009008BC">
        <w:rPr>
          <w:sz w:val="24"/>
        </w:rPr>
        <w:t xml:space="preserve">carbon intensity of electricity generation </w:t>
      </w:r>
      <w:r>
        <w:rPr>
          <w:sz w:val="24"/>
        </w:rPr>
        <w:t xml:space="preserve">on overall Town emissions, </w:t>
      </w:r>
      <w:r w:rsidR="000E4F1A">
        <w:rPr>
          <w:sz w:val="24"/>
        </w:rPr>
        <w:t xml:space="preserve">Figure 2 was constructed. One data set uses the </w:t>
      </w:r>
      <w:r w:rsidR="00FC3688">
        <w:rPr>
          <w:sz w:val="24"/>
        </w:rPr>
        <w:t xml:space="preserve">2007 emissions factor </w:t>
      </w:r>
      <w:r w:rsidR="000E4F1A">
        <w:rPr>
          <w:sz w:val="24"/>
        </w:rPr>
        <w:t xml:space="preserve">for carbon intensity of electricity generation over the whole time scale to assess the Town’s emissions without any help from a cleaner electricity grid, and the other is the Town’s actual emissions based on changing </w:t>
      </w:r>
      <w:r w:rsidR="00EA4AAE">
        <w:rPr>
          <w:sz w:val="24"/>
        </w:rPr>
        <w:t>emissions rates</w:t>
      </w:r>
      <w:r w:rsidR="009008BC">
        <w:rPr>
          <w:sz w:val="24"/>
        </w:rPr>
        <w:t xml:space="preserve"> from electricity generation</w:t>
      </w:r>
      <w:r w:rsidR="000E4F1A">
        <w:rPr>
          <w:sz w:val="24"/>
        </w:rPr>
        <w:t xml:space="preserve">. It is clear that the cleaner fuels generating electricity in the SRVC region have helped the Town lower its emissions from 2011 to present. </w:t>
      </w:r>
      <w:r w:rsidR="00195B67">
        <w:rPr>
          <w:sz w:val="24"/>
        </w:rPr>
        <w:t xml:space="preserve">Specifically, Figure 2 indicates that, if the emissions intensity factors for </w:t>
      </w:r>
      <w:r w:rsidR="0054466C" w:rsidRPr="00195B67">
        <w:rPr>
          <w:sz w:val="24"/>
        </w:rPr>
        <w:t>electricity generat</w:t>
      </w:r>
      <w:r w:rsidR="00195B67" w:rsidRPr="006C12EF">
        <w:rPr>
          <w:sz w:val="24"/>
        </w:rPr>
        <w:t>ion had remain</w:t>
      </w:r>
      <w:r w:rsidR="00CD68D8">
        <w:rPr>
          <w:sz w:val="24"/>
        </w:rPr>
        <w:t>ed</w:t>
      </w:r>
      <w:r w:rsidR="00195B67" w:rsidRPr="006C12EF">
        <w:rPr>
          <w:sz w:val="24"/>
        </w:rPr>
        <w:t xml:space="preserve"> unchanged </w:t>
      </w:r>
      <w:r w:rsidR="0054466C" w:rsidRPr="00195B67">
        <w:rPr>
          <w:sz w:val="24"/>
        </w:rPr>
        <w:t xml:space="preserve">since 2007, the Town’s emissions would be </w:t>
      </w:r>
      <w:r w:rsidR="00836F9E">
        <w:rPr>
          <w:sz w:val="24"/>
        </w:rPr>
        <w:t>92.6</w:t>
      </w:r>
      <w:r w:rsidR="006C12EF" w:rsidRPr="00184F4C">
        <w:rPr>
          <w:sz w:val="24"/>
        </w:rPr>
        <w:t xml:space="preserve"> </w:t>
      </w:r>
      <w:r w:rsidR="0054466C" w:rsidRPr="00774385">
        <w:rPr>
          <w:sz w:val="24"/>
        </w:rPr>
        <w:t>MTCDE</w:t>
      </w:r>
      <w:r w:rsidR="00836F9E">
        <w:rPr>
          <w:sz w:val="24"/>
        </w:rPr>
        <w:t xml:space="preserve"> </w:t>
      </w:r>
      <w:r w:rsidR="0054466C" w:rsidRPr="00195B67">
        <w:rPr>
          <w:sz w:val="24"/>
        </w:rPr>
        <w:t xml:space="preserve">higher </w:t>
      </w:r>
      <w:r w:rsidR="00836F9E">
        <w:rPr>
          <w:sz w:val="24"/>
        </w:rPr>
        <w:t xml:space="preserve">than 2007 levels </w:t>
      </w:r>
      <w:r w:rsidR="00184F4C">
        <w:rPr>
          <w:sz w:val="24"/>
        </w:rPr>
        <w:t>in 2016</w:t>
      </w:r>
      <w:r w:rsidR="00195B67" w:rsidRPr="006C12EF">
        <w:rPr>
          <w:sz w:val="24"/>
        </w:rPr>
        <w:t xml:space="preserve">, which would have </w:t>
      </w:r>
      <w:r w:rsidR="00184F4C">
        <w:rPr>
          <w:sz w:val="24"/>
        </w:rPr>
        <w:t xml:space="preserve">been </w:t>
      </w:r>
      <w:r w:rsidR="00195B67" w:rsidRPr="006C12EF">
        <w:rPr>
          <w:sz w:val="24"/>
        </w:rPr>
        <w:t xml:space="preserve">a </w:t>
      </w:r>
      <w:r w:rsidR="00836F9E">
        <w:rPr>
          <w:sz w:val="24"/>
        </w:rPr>
        <w:t>5.3</w:t>
      </w:r>
      <w:r w:rsidR="00195B67" w:rsidRPr="00184F4C">
        <w:rPr>
          <w:sz w:val="24"/>
        </w:rPr>
        <w:t>%</w:t>
      </w:r>
      <w:r w:rsidR="00195B67" w:rsidRPr="006C12EF">
        <w:rPr>
          <w:sz w:val="24"/>
        </w:rPr>
        <w:t xml:space="preserve"> increase</w:t>
      </w:r>
      <w:r w:rsidR="0054466C" w:rsidRPr="00195B67">
        <w:rPr>
          <w:sz w:val="24"/>
        </w:rPr>
        <w:t>.</w:t>
      </w:r>
      <w:r w:rsidR="0054466C">
        <w:rPr>
          <w:sz w:val="24"/>
        </w:rPr>
        <w:t xml:space="preserve"> </w:t>
      </w:r>
      <w:r w:rsidR="00195B67">
        <w:rPr>
          <w:sz w:val="24"/>
        </w:rPr>
        <w:t xml:space="preserve">It is worth noting that the </w:t>
      </w:r>
      <w:r w:rsidR="000E4F1A">
        <w:rPr>
          <w:sz w:val="24"/>
        </w:rPr>
        <w:t>Town’s emissions have declin</w:t>
      </w:r>
      <w:r w:rsidR="00195B67">
        <w:rPr>
          <w:sz w:val="24"/>
        </w:rPr>
        <w:t>ed</w:t>
      </w:r>
      <w:r w:rsidR="000E4F1A">
        <w:rPr>
          <w:sz w:val="24"/>
        </w:rPr>
        <w:t xml:space="preserve"> from 2013 to present</w:t>
      </w:r>
      <w:r w:rsidR="00195B67">
        <w:rPr>
          <w:sz w:val="24"/>
        </w:rPr>
        <w:t xml:space="preserve"> regardless of the lower emissions intensity from the electricity grid</w:t>
      </w:r>
      <w:r w:rsidR="000E4F1A">
        <w:rPr>
          <w:sz w:val="24"/>
        </w:rPr>
        <w:t>.</w:t>
      </w:r>
    </w:p>
    <w:p w14:paraId="40BC4FEF" w14:textId="1353672F" w:rsidR="00774385" w:rsidRDefault="00774385" w:rsidP="00774385">
      <w:pPr>
        <w:tabs>
          <w:tab w:val="left" w:pos="1530"/>
          <w:tab w:val="left" w:pos="8640"/>
          <w:tab w:val="left" w:pos="9000"/>
        </w:tabs>
        <w:jc w:val="center"/>
        <w:rPr>
          <w:sz w:val="24"/>
        </w:rPr>
      </w:pPr>
      <w:r>
        <w:rPr>
          <w:b/>
          <w:sz w:val="24"/>
        </w:rPr>
        <w:t>Figure 2</w:t>
      </w:r>
    </w:p>
    <w:p w14:paraId="009CE1A8" w14:textId="1FFC6A7C" w:rsidR="00C4272E" w:rsidRDefault="00FC3688" w:rsidP="00774385">
      <w:pPr>
        <w:tabs>
          <w:tab w:val="left" w:pos="1530"/>
          <w:tab w:val="left" w:pos="8640"/>
          <w:tab w:val="left" w:pos="9000"/>
        </w:tabs>
        <w:jc w:val="center"/>
        <w:rPr>
          <w:sz w:val="24"/>
        </w:rPr>
      </w:pPr>
      <w:r>
        <w:rPr>
          <w:noProof/>
          <w:sz w:val="24"/>
        </w:rPr>
        <w:drawing>
          <wp:inline distT="0" distB="0" distL="0" distR="0" wp14:anchorId="3FD7D382" wp14:editId="6A171DBF">
            <wp:extent cx="5484055" cy="2490107"/>
            <wp:effectExtent l="0" t="0" r="2540"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678" cy="2491298"/>
                    </a:xfrm>
                    <a:prstGeom prst="rect">
                      <a:avLst/>
                    </a:prstGeom>
                    <a:noFill/>
                    <a:ln>
                      <a:noFill/>
                    </a:ln>
                  </pic:spPr>
                </pic:pic>
              </a:graphicData>
            </a:graphic>
          </wp:inline>
        </w:drawing>
      </w:r>
    </w:p>
    <w:p w14:paraId="7ABC969B" w14:textId="77777777" w:rsidR="00C31C71" w:rsidRDefault="00C31C71" w:rsidP="00DF3EEE">
      <w:pPr>
        <w:tabs>
          <w:tab w:val="left" w:pos="9000"/>
        </w:tabs>
        <w:jc w:val="center"/>
        <w:rPr>
          <w:b/>
          <w:sz w:val="24"/>
        </w:rPr>
      </w:pPr>
    </w:p>
    <w:p w14:paraId="4F902DE8" w14:textId="3C40BA56" w:rsidR="00C31C71" w:rsidRDefault="00C31C71" w:rsidP="00C31C71">
      <w:pPr>
        <w:tabs>
          <w:tab w:val="left" w:pos="1530"/>
          <w:tab w:val="left" w:pos="8640"/>
          <w:tab w:val="left" w:pos="9000"/>
        </w:tabs>
        <w:rPr>
          <w:sz w:val="24"/>
        </w:rPr>
      </w:pPr>
      <w:r>
        <w:rPr>
          <w:sz w:val="24"/>
        </w:rPr>
        <w:t>In order to help focus the Town’s efforts in emission reduction, Figure 3 was constructed to show the percentage contribution to the Town’s emissions from all sources during the 2016 calendar year. The two largest sources of emissions are street lighting and Public Works fuel usage, which each account for 19% of the total</w:t>
      </w:r>
      <w:r>
        <w:rPr>
          <w:rStyle w:val="FootnoteReference"/>
          <w:sz w:val="24"/>
        </w:rPr>
        <w:footnoteReference w:customMarkFollows="1" w:id="2"/>
        <w:t>5</w:t>
      </w:r>
      <w:r w:rsidR="0030392D">
        <w:rPr>
          <w:sz w:val="24"/>
        </w:rPr>
        <w:t>.</w:t>
      </w:r>
    </w:p>
    <w:p w14:paraId="019C4F4C" w14:textId="77777777" w:rsidR="00774385" w:rsidRDefault="00774385" w:rsidP="00C31C71">
      <w:pPr>
        <w:tabs>
          <w:tab w:val="left" w:pos="1530"/>
          <w:tab w:val="left" w:pos="8640"/>
          <w:tab w:val="left" w:pos="9000"/>
        </w:tabs>
        <w:rPr>
          <w:sz w:val="24"/>
        </w:rPr>
      </w:pPr>
    </w:p>
    <w:p w14:paraId="649AB960" w14:textId="1EC67C82" w:rsidR="00774385" w:rsidRDefault="00774385" w:rsidP="00774385">
      <w:pPr>
        <w:tabs>
          <w:tab w:val="left" w:pos="1530"/>
          <w:tab w:val="left" w:pos="8640"/>
          <w:tab w:val="left" w:pos="9000"/>
        </w:tabs>
        <w:jc w:val="center"/>
        <w:rPr>
          <w:sz w:val="24"/>
        </w:rPr>
      </w:pPr>
      <w:r>
        <w:rPr>
          <w:b/>
          <w:sz w:val="24"/>
        </w:rPr>
        <w:t>Figure 3</w:t>
      </w:r>
    </w:p>
    <w:p w14:paraId="2596FBE0" w14:textId="3BD90B98" w:rsidR="00CB20ED" w:rsidRDefault="00B52B22" w:rsidP="00A10D79">
      <w:pPr>
        <w:tabs>
          <w:tab w:val="left" w:pos="9000"/>
        </w:tabs>
        <w:jc w:val="center"/>
        <w:rPr>
          <w:b/>
          <w:sz w:val="24"/>
        </w:rPr>
      </w:pPr>
      <w:r w:rsidRPr="00A10D79">
        <w:rPr>
          <w:b/>
          <w:noProof/>
          <w:sz w:val="24"/>
        </w:rPr>
        <w:drawing>
          <wp:inline distT="0" distB="0" distL="0" distR="0" wp14:anchorId="109E8B75" wp14:editId="381C2516">
            <wp:extent cx="5143500" cy="3773709"/>
            <wp:effectExtent l="0" t="0" r="0" b="114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6244" cy="3775722"/>
                    </a:xfrm>
                    <a:prstGeom prst="rect">
                      <a:avLst/>
                    </a:prstGeom>
                    <a:noFill/>
                    <a:ln>
                      <a:noFill/>
                    </a:ln>
                  </pic:spPr>
                </pic:pic>
              </a:graphicData>
            </a:graphic>
          </wp:inline>
        </w:drawing>
      </w:r>
    </w:p>
    <w:p w14:paraId="77012DC8" w14:textId="2DF74199" w:rsidR="00B52B22" w:rsidRDefault="00B52B22" w:rsidP="00A10D79">
      <w:pPr>
        <w:tabs>
          <w:tab w:val="left" w:pos="9000"/>
        </w:tabs>
        <w:jc w:val="center"/>
        <w:rPr>
          <w:b/>
          <w:sz w:val="24"/>
        </w:rPr>
      </w:pPr>
    </w:p>
    <w:p w14:paraId="2B69D367" w14:textId="49204FD8" w:rsidR="002C6EB3" w:rsidRDefault="00B0147B" w:rsidP="0080266D">
      <w:pPr>
        <w:tabs>
          <w:tab w:val="left" w:pos="9000"/>
        </w:tabs>
        <w:rPr>
          <w:sz w:val="24"/>
        </w:rPr>
      </w:pPr>
      <w:r>
        <w:rPr>
          <w:sz w:val="24"/>
        </w:rPr>
        <w:t>D</w:t>
      </w:r>
      <w:r w:rsidR="00076937">
        <w:rPr>
          <w:sz w:val="24"/>
        </w:rPr>
        <w:t>ue to lower emissions from the electricity grid</w:t>
      </w:r>
      <w:r w:rsidR="000E4F1A">
        <w:rPr>
          <w:sz w:val="24"/>
        </w:rPr>
        <w:t>, Public Works fuel usage</w:t>
      </w:r>
      <w:r w:rsidR="00A90567">
        <w:rPr>
          <w:sz w:val="24"/>
        </w:rPr>
        <w:t xml:space="preserve"> (307.8 MTCDE)</w:t>
      </w:r>
      <w:r w:rsidR="000E4F1A">
        <w:rPr>
          <w:sz w:val="24"/>
        </w:rPr>
        <w:t xml:space="preserve"> has surpassed streetlights </w:t>
      </w:r>
      <w:r w:rsidR="00A90567">
        <w:rPr>
          <w:sz w:val="24"/>
        </w:rPr>
        <w:t xml:space="preserve">(305.9 MTCDE) </w:t>
      </w:r>
      <w:r w:rsidR="000E4F1A">
        <w:rPr>
          <w:sz w:val="24"/>
        </w:rPr>
        <w:t xml:space="preserve">to become the Town’s largest </w:t>
      </w:r>
      <w:r w:rsidR="009008BC">
        <w:rPr>
          <w:sz w:val="24"/>
        </w:rPr>
        <w:t>source of emissions</w:t>
      </w:r>
      <w:r w:rsidR="000E4F1A">
        <w:rPr>
          <w:sz w:val="24"/>
        </w:rPr>
        <w:t xml:space="preserve">. </w:t>
      </w:r>
      <w:r w:rsidR="00A90567">
        <w:rPr>
          <w:sz w:val="24"/>
        </w:rPr>
        <w:t xml:space="preserve">Emissions attributable to </w:t>
      </w:r>
      <w:r w:rsidR="000E4F1A">
        <w:rPr>
          <w:sz w:val="24"/>
        </w:rPr>
        <w:t xml:space="preserve">Police Department fuel </w:t>
      </w:r>
      <w:r w:rsidR="00A90567">
        <w:rPr>
          <w:sz w:val="24"/>
        </w:rPr>
        <w:t xml:space="preserve">usage </w:t>
      </w:r>
      <w:r w:rsidR="000E4F1A">
        <w:rPr>
          <w:sz w:val="24"/>
        </w:rPr>
        <w:t xml:space="preserve">rose </w:t>
      </w:r>
      <w:r w:rsidR="00A90567">
        <w:rPr>
          <w:sz w:val="24"/>
        </w:rPr>
        <w:t xml:space="preserve">17.7 MTCDE </w:t>
      </w:r>
      <w:r w:rsidR="00716DCB">
        <w:rPr>
          <w:sz w:val="24"/>
        </w:rPr>
        <w:t xml:space="preserve">in the past year </w:t>
      </w:r>
      <w:r w:rsidR="00A90567">
        <w:rPr>
          <w:sz w:val="24"/>
        </w:rPr>
        <w:t>to 290.0 MTCDE, which makes it the Town’s third-largest source of emissions. The Century Center is the fourth</w:t>
      </w:r>
      <w:r w:rsidR="00107DEA">
        <w:rPr>
          <w:sz w:val="24"/>
        </w:rPr>
        <w:t>-largest contributor to emis</w:t>
      </w:r>
      <w:r w:rsidR="00A90567">
        <w:rPr>
          <w:sz w:val="24"/>
        </w:rPr>
        <w:t>sions</w:t>
      </w:r>
      <w:r w:rsidR="00AE5B88">
        <w:rPr>
          <w:sz w:val="24"/>
        </w:rPr>
        <w:t xml:space="preserve">. It had the largest decrease in emissions of any Town sector </w:t>
      </w:r>
      <w:r w:rsidR="00A90567">
        <w:rPr>
          <w:sz w:val="24"/>
        </w:rPr>
        <w:t>for the second year in a row, dropping another 19.4 MTCDE, or nearly 8% of 2015 levels, to 227.3 MTCDE</w:t>
      </w:r>
      <w:r w:rsidR="00371D17">
        <w:rPr>
          <w:sz w:val="24"/>
        </w:rPr>
        <w:t>.</w:t>
      </w:r>
      <w:r w:rsidR="009C297A" w:rsidRPr="009C297A">
        <w:rPr>
          <w:sz w:val="24"/>
        </w:rPr>
        <w:t xml:space="preserve"> </w:t>
      </w:r>
      <w:r w:rsidR="009C297A">
        <w:rPr>
          <w:sz w:val="24"/>
        </w:rPr>
        <w:t xml:space="preserve">These four largest </w:t>
      </w:r>
      <w:r w:rsidR="00415100">
        <w:rPr>
          <w:sz w:val="24"/>
        </w:rPr>
        <w:t xml:space="preserve">contributors to Town emissions </w:t>
      </w:r>
      <w:r w:rsidR="00AE5B88">
        <w:rPr>
          <w:sz w:val="24"/>
        </w:rPr>
        <w:t>accounted for 70</w:t>
      </w:r>
      <w:r w:rsidR="009C297A">
        <w:rPr>
          <w:sz w:val="24"/>
        </w:rPr>
        <w:t xml:space="preserve">% of total emissions, and therefore are </w:t>
      </w:r>
      <w:r w:rsidR="00076937">
        <w:rPr>
          <w:sz w:val="24"/>
        </w:rPr>
        <w:t xml:space="preserve">important </w:t>
      </w:r>
      <w:r w:rsidR="00C30081">
        <w:rPr>
          <w:sz w:val="24"/>
        </w:rPr>
        <w:t xml:space="preserve">to consider for </w:t>
      </w:r>
      <w:r w:rsidR="009C297A">
        <w:rPr>
          <w:sz w:val="24"/>
        </w:rPr>
        <w:t>emissions reduction efforts.</w:t>
      </w:r>
    </w:p>
    <w:p w14:paraId="02394B5F" w14:textId="77777777" w:rsidR="00C31C71" w:rsidRDefault="00C31C71" w:rsidP="0080266D">
      <w:pPr>
        <w:tabs>
          <w:tab w:val="left" w:pos="9000"/>
        </w:tabs>
        <w:rPr>
          <w:sz w:val="24"/>
        </w:rPr>
      </w:pPr>
    </w:p>
    <w:p w14:paraId="6A185FC1" w14:textId="77777777" w:rsidR="00B94795" w:rsidRDefault="00C31C71" w:rsidP="00B94795">
      <w:pPr>
        <w:tabs>
          <w:tab w:val="left" w:pos="9000"/>
        </w:tabs>
        <w:rPr>
          <w:sz w:val="24"/>
        </w:rPr>
      </w:pPr>
      <w:r>
        <w:rPr>
          <w:sz w:val="24"/>
        </w:rPr>
        <w:t>Figure 4 was constructed to help to track how these four largest contributors to Town emissions have performed since 2007. The figure shows that emissions from streetlights have been</w:t>
      </w:r>
      <w:r>
        <w:t xml:space="preserve"> </w:t>
      </w:r>
      <w:r>
        <w:rPr>
          <w:sz w:val="24"/>
        </w:rPr>
        <w:t>generally declining due to cleaner electricity in the grid (although a slight increase was observed between 2015 and 2016). Police fuel emissions are down 36.2 MTCDE from their high point in 2010. Public Works fuel emissions and Century Center emissions have both had notable decreases for the second consecutive year.</w:t>
      </w:r>
      <w:r w:rsidR="00B94795" w:rsidRPr="00B94795">
        <w:rPr>
          <w:sz w:val="24"/>
        </w:rPr>
        <w:t xml:space="preserve"> </w:t>
      </w:r>
    </w:p>
    <w:p w14:paraId="4D0C2324" w14:textId="77777777" w:rsidR="00774385" w:rsidRDefault="00774385" w:rsidP="00B94795">
      <w:pPr>
        <w:tabs>
          <w:tab w:val="left" w:pos="9000"/>
        </w:tabs>
        <w:rPr>
          <w:b/>
          <w:sz w:val="24"/>
        </w:rPr>
      </w:pPr>
    </w:p>
    <w:p w14:paraId="2BC277A7" w14:textId="5E75174F" w:rsidR="00774385" w:rsidRDefault="00774385" w:rsidP="00774385">
      <w:pPr>
        <w:tabs>
          <w:tab w:val="left" w:pos="9000"/>
        </w:tabs>
        <w:jc w:val="center"/>
        <w:rPr>
          <w:sz w:val="24"/>
        </w:rPr>
      </w:pPr>
      <w:r>
        <w:rPr>
          <w:b/>
          <w:sz w:val="24"/>
        </w:rPr>
        <w:t>Figure 4</w:t>
      </w:r>
    </w:p>
    <w:p w14:paraId="5D81D507" w14:textId="26B53B7B" w:rsidR="00B94795" w:rsidRDefault="00A10D79" w:rsidP="00774385">
      <w:pPr>
        <w:tabs>
          <w:tab w:val="left" w:pos="9000"/>
        </w:tabs>
        <w:jc w:val="center"/>
        <w:rPr>
          <w:sz w:val="24"/>
        </w:rPr>
      </w:pPr>
      <w:r w:rsidRPr="00A10D79">
        <w:rPr>
          <w:noProof/>
          <w:sz w:val="24"/>
        </w:rPr>
        <w:drawing>
          <wp:inline distT="0" distB="0" distL="0" distR="0" wp14:anchorId="11B79AC1" wp14:editId="4BB89303">
            <wp:extent cx="5739573" cy="2854960"/>
            <wp:effectExtent l="0" t="0" r="1270" b="0"/>
            <wp:docPr id="1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1776" cy="2856056"/>
                    </a:xfrm>
                    <a:prstGeom prst="rect">
                      <a:avLst/>
                    </a:prstGeom>
                    <a:noFill/>
                    <a:ln>
                      <a:noFill/>
                    </a:ln>
                  </pic:spPr>
                </pic:pic>
              </a:graphicData>
            </a:graphic>
          </wp:inline>
        </w:drawing>
      </w:r>
    </w:p>
    <w:p w14:paraId="02ECBD13" w14:textId="328B798A" w:rsidR="00A10D79" w:rsidRDefault="00A10D79" w:rsidP="00A10D79">
      <w:pPr>
        <w:tabs>
          <w:tab w:val="left" w:pos="9000"/>
        </w:tabs>
        <w:jc w:val="center"/>
        <w:rPr>
          <w:b/>
          <w:sz w:val="24"/>
        </w:rPr>
      </w:pPr>
    </w:p>
    <w:p w14:paraId="703C10D4" w14:textId="77777777" w:rsidR="00A10D79" w:rsidRDefault="00A10D79" w:rsidP="00A10D79">
      <w:pPr>
        <w:tabs>
          <w:tab w:val="left" w:pos="9000"/>
        </w:tabs>
        <w:jc w:val="center"/>
        <w:rPr>
          <w:sz w:val="24"/>
        </w:rPr>
      </w:pPr>
    </w:p>
    <w:p w14:paraId="5721A016" w14:textId="1A393FA6" w:rsidR="00B94795" w:rsidRDefault="00B94795" w:rsidP="00B94795">
      <w:pPr>
        <w:tabs>
          <w:tab w:val="left" w:pos="9000"/>
        </w:tabs>
        <w:rPr>
          <w:sz w:val="24"/>
        </w:rPr>
      </w:pPr>
      <w:r>
        <w:rPr>
          <w:sz w:val="24"/>
        </w:rPr>
        <w:t>Table 5 spells out the rest of the emissions data from all municipal sources and shows trends that have developed since 2011. Streetlights, the Century Center, Fire Station #1, Town Hall, and Police Department fuel usage have all had double-digit reductions in MTCDE emitted</w:t>
      </w:r>
      <w:r w:rsidR="0030392D">
        <w:rPr>
          <w:sz w:val="24"/>
        </w:rPr>
        <w:t xml:space="preserve"> between 2011 and 2016</w:t>
      </w:r>
      <w:r>
        <w:rPr>
          <w:sz w:val="24"/>
        </w:rPr>
        <w:t>, whereas Public Works fuel emissions increased 20.8 MTCDE due to longer solid waste haul distances. Overall, Town emissions have decreased 203.0 MTCDE, or 11.3%, since 2011.</w:t>
      </w:r>
    </w:p>
    <w:p w14:paraId="720C8977" w14:textId="245A7BE7" w:rsidR="00F85ECA" w:rsidRDefault="00F85ECA" w:rsidP="0080266D">
      <w:pPr>
        <w:tabs>
          <w:tab w:val="left" w:pos="9000"/>
        </w:tabs>
        <w:rPr>
          <w:sz w:val="24"/>
        </w:rPr>
      </w:pPr>
    </w:p>
    <w:p w14:paraId="3854DA3E" w14:textId="77777777" w:rsidR="00833918" w:rsidRDefault="00F85ECA" w:rsidP="0080266D">
      <w:pPr>
        <w:tabs>
          <w:tab w:val="left" w:pos="9000"/>
        </w:tabs>
        <w:rPr>
          <w:sz w:val="24"/>
        </w:rPr>
      </w:pPr>
      <w:r>
        <w:rPr>
          <w:sz w:val="24"/>
        </w:rPr>
        <w:t xml:space="preserve">The largest change </w:t>
      </w:r>
      <w:r w:rsidRPr="00DB6555">
        <w:rPr>
          <w:sz w:val="24"/>
        </w:rPr>
        <w:t xml:space="preserve">in emissions </w:t>
      </w:r>
      <w:r>
        <w:rPr>
          <w:sz w:val="24"/>
        </w:rPr>
        <w:t>between 2011 and 2016 is the 86.4 MTCDE de</w:t>
      </w:r>
      <w:r w:rsidRPr="00DB6555">
        <w:rPr>
          <w:sz w:val="24"/>
        </w:rPr>
        <w:t>crease in</w:t>
      </w:r>
      <w:r>
        <w:rPr>
          <w:sz w:val="24"/>
        </w:rPr>
        <w:t xml:space="preserve"> emissions from streetlight usage. This 22% drop in streetlight-related emissions is largely </w:t>
      </w:r>
    </w:p>
    <w:p w14:paraId="41933982" w14:textId="77777777" w:rsidR="00833918" w:rsidRDefault="00833918" w:rsidP="0080266D">
      <w:pPr>
        <w:tabs>
          <w:tab w:val="left" w:pos="9000"/>
        </w:tabs>
        <w:rPr>
          <w:sz w:val="24"/>
        </w:rPr>
      </w:pPr>
    </w:p>
    <w:p w14:paraId="775DFCBE" w14:textId="77777777" w:rsidR="00833918" w:rsidRDefault="00833918" w:rsidP="00833918">
      <w:pPr>
        <w:tabs>
          <w:tab w:val="left" w:pos="9000"/>
        </w:tabs>
        <w:jc w:val="center"/>
        <w:rPr>
          <w:b/>
          <w:sz w:val="24"/>
        </w:rPr>
      </w:pPr>
      <w:r w:rsidRPr="005F2D88">
        <w:rPr>
          <w:b/>
          <w:sz w:val="24"/>
        </w:rPr>
        <w:t xml:space="preserve">Table </w:t>
      </w:r>
      <w:r>
        <w:rPr>
          <w:b/>
          <w:sz w:val="24"/>
        </w:rPr>
        <w:t>5</w:t>
      </w:r>
    </w:p>
    <w:p w14:paraId="42B6B071" w14:textId="759BA6E7" w:rsidR="00833918" w:rsidRPr="005F2D88" w:rsidRDefault="00833918" w:rsidP="00833918">
      <w:pPr>
        <w:tabs>
          <w:tab w:val="left" w:pos="9000"/>
        </w:tabs>
        <w:jc w:val="center"/>
        <w:rPr>
          <w:b/>
          <w:sz w:val="24"/>
        </w:rPr>
      </w:pPr>
      <w:r>
        <w:rPr>
          <w:b/>
          <w:sz w:val="24"/>
        </w:rPr>
        <w:t>Detailed Emissions Estimates 2011-2016</w:t>
      </w:r>
    </w:p>
    <w:tbl>
      <w:tblPr>
        <w:tblStyle w:val="TableGrid"/>
        <w:tblpPr w:leftFromText="180" w:rightFromText="180" w:vertAnchor="text" w:horzAnchor="margin" w:tblpY="110"/>
        <w:tblW w:w="9096" w:type="dxa"/>
        <w:tblLayout w:type="fixed"/>
        <w:tblLook w:val="04A0" w:firstRow="1" w:lastRow="0" w:firstColumn="1" w:lastColumn="0" w:noHBand="0" w:noVBand="1"/>
      </w:tblPr>
      <w:tblGrid>
        <w:gridCol w:w="1474"/>
        <w:gridCol w:w="1080"/>
        <w:gridCol w:w="1080"/>
        <w:gridCol w:w="1080"/>
        <w:gridCol w:w="1080"/>
        <w:gridCol w:w="1080"/>
        <w:gridCol w:w="1080"/>
        <w:gridCol w:w="1142"/>
      </w:tblGrid>
      <w:tr w:rsidR="00833918" w:rsidRPr="005F2D88" w14:paraId="31C45CFE" w14:textId="77777777" w:rsidTr="00833918">
        <w:trPr>
          <w:trHeight w:val="280"/>
        </w:trPr>
        <w:tc>
          <w:tcPr>
            <w:tcW w:w="1474" w:type="dxa"/>
            <w:noWrap/>
            <w:vAlign w:val="center"/>
            <w:hideMark/>
          </w:tcPr>
          <w:p w14:paraId="7091776E" w14:textId="77777777" w:rsidR="00833918" w:rsidRPr="005F2D88" w:rsidRDefault="00833918" w:rsidP="00833918">
            <w:pPr>
              <w:tabs>
                <w:tab w:val="left" w:pos="9000"/>
              </w:tabs>
              <w:rPr>
                <w:rFonts w:asciiTheme="majorHAnsi" w:hAnsiTheme="majorHAnsi"/>
                <w:b/>
                <w:bCs/>
                <w:color w:val="000000"/>
              </w:rPr>
            </w:pPr>
          </w:p>
          <w:p w14:paraId="179FB152" w14:textId="77777777" w:rsidR="00833918" w:rsidRPr="005F2D88" w:rsidRDefault="00833918" w:rsidP="00833918">
            <w:pPr>
              <w:tabs>
                <w:tab w:val="left" w:pos="9000"/>
              </w:tabs>
              <w:jc w:val="right"/>
              <w:rPr>
                <w:rFonts w:asciiTheme="majorHAnsi" w:hAnsiTheme="majorHAnsi"/>
                <w:b/>
                <w:bCs/>
                <w:color w:val="000000"/>
              </w:rPr>
            </w:pPr>
            <w:r w:rsidRPr="005F2D88">
              <w:rPr>
                <w:rFonts w:asciiTheme="majorHAnsi" w:hAnsiTheme="majorHAnsi"/>
                <w:b/>
                <w:bCs/>
                <w:color w:val="000000"/>
              </w:rPr>
              <w:t>Facility Name</w:t>
            </w:r>
          </w:p>
        </w:tc>
        <w:tc>
          <w:tcPr>
            <w:tcW w:w="1080" w:type="dxa"/>
            <w:noWrap/>
            <w:hideMark/>
          </w:tcPr>
          <w:p w14:paraId="64626217" w14:textId="77777777" w:rsidR="00833918" w:rsidRPr="005F2D88" w:rsidRDefault="00833918" w:rsidP="00833918">
            <w:pPr>
              <w:tabs>
                <w:tab w:val="left" w:pos="9000"/>
              </w:tabs>
              <w:jc w:val="center"/>
              <w:rPr>
                <w:rFonts w:asciiTheme="majorHAnsi" w:hAnsiTheme="majorHAnsi"/>
                <w:b/>
                <w:bCs/>
                <w:color w:val="000000"/>
              </w:rPr>
            </w:pPr>
            <w:r w:rsidRPr="005F2D88">
              <w:rPr>
                <w:rFonts w:asciiTheme="majorHAnsi" w:hAnsiTheme="majorHAnsi"/>
                <w:b/>
                <w:bCs/>
                <w:color w:val="000000"/>
              </w:rPr>
              <w:t>2011 Emissions (MTCDE)</w:t>
            </w:r>
          </w:p>
        </w:tc>
        <w:tc>
          <w:tcPr>
            <w:tcW w:w="1080" w:type="dxa"/>
            <w:noWrap/>
            <w:hideMark/>
          </w:tcPr>
          <w:p w14:paraId="2D59FB40" w14:textId="77777777" w:rsidR="00833918" w:rsidRPr="005F2D88" w:rsidRDefault="00833918" w:rsidP="00833918">
            <w:pPr>
              <w:tabs>
                <w:tab w:val="left" w:pos="9000"/>
              </w:tabs>
              <w:jc w:val="center"/>
              <w:rPr>
                <w:rFonts w:asciiTheme="majorHAnsi" w:hAnsiTheme="majorHAnsi"/>
                <w:b/>
                <w:bCs/>
                <w:color w:val="000000"/>
              </w:rPr>
            </w:pPr>
            <w:r w:rsidRPr="005F2D88">
              <w:rPr>
                <w:rFonts w:asciiTheme="majorHAnsi" w:hAnsiTheme="majorHAnsi"/>
                <w:b/>
                <w:bCs/>
                <w:color w:val="000000"/>
              </w:rPr>
              <w:t>2014 Emissions (MTCDE)</w:t>
            </w:r>
          </w:p>
        </w:tc>
        <w:tc>
          <w:tcPr>
            <w:tcW w:w="1080" w:type="dxa"/>
          </w:tcPr>
          <w:p w14:paraId="7008997E" w14:textId="77777777" w:rsidR="00833918" w:rsidRPr="005F2D88" w:rsidRDefault="00833918" w:rsidP="00833918">
            <w:pPr>
              <w:tabs>
                <w:tab w:val="left" w:pos="9000"/>
              </w:tabs>
              <w:jc w:val="center"/>
              <w:rPr>
                <w:rFonts w:asciiTheme="majorHAnsi" w:hAnsiTheme="majorHAnsi"/>
                <w:b/>
                <w:bCs/>
                <w:color w:val="000000"/>
              </w:rPr>
            </w:pPr>
            <w:r w:rsidRPr="005F2D88">
              <w:rPr>
                <w:rFonts w:asciiTheme="majorHAnsi" w:hAnsiTheme="majorHAnsi"/>
                <w:b/>
                <w:bCs/>
                <w:color w:val="000000"/>
              </w:rPr>
              <w:t>2015 Emissions (MTCDE)</w:t>
            </w:r>
          </w:p>
        </w:tc>
        <w:tc>
          <w:tcPr>
            <w:tcW w:w="1080" w:type="dxa"/>
          </w:tcPr>
          <w:p w14:paraId="14F56F69" w14:textId="77777777" w:rsidR="00833918" w:rsidRPr="005F2D88" w:rsidRDefault="00833918" w:rsidP="00833918">
            <w:pPr>
              <w:tabs>
                <w:tab w:val="left" w:pos="9000"/>
              </w:tabs>
              <w:jc w:val="center"/>
              <w:rPr>
                <w:rFonts w:asciiTheme="majorHAnsi" w:hAnsiTheme="majorHAnsi"/>
                <w:b/>
                <w:bCs/>
                <w:color w:val="000000"/>
              </w:rPr>
            </w:pPr>
            <w:r w:rsidRPr="005F2D88">
              <w:rPr>
                <w:rFonts w:asciiTheme="majorHAnsi" w:hAnsiTheme="majorHAnsi"/>
                <w:b/>
                <w:bCs/>
                <w:color w:val="000000"/>
              </w:rPr>
              <w:t>2016</w:t>
            </w:r>
          </w:p>
          <w:p w14:paraId="26BFD3B5" w14:textId="77777777" w:rsidR="00833918" w:rsidRPr="005F2D88" w:rsidRDefault="00833918" w:rsidP="00833918">
            <w:pPr>
              <w:tabs>
                <w:tab w:val="left" w:pos="9000"/>
              </w:tabs>
              <w:jc w:val="center"/>
              <w:rPr>
                <w:rFonts w:asciiTheme="majorHAnsi" w:hAnsiTheme="majorHAnsi"/>
                <w:b/>
                <w:bCs/>
                <w:color w:val="000000"/>
              </w:rPr>
            </w:pPr>
            <w:r w:rsidRPr="005F2D88">
              <w:rPr>
                <w:rFonts w:asciiTheme="majorHAnsi" w:hAnsiTheme="majorHAnsi"/>
                <w:b/>
                <w:bCs/>
                <w:color w:val="000000"/>
              </w:rPr>
              <w:t>Emissions</w:t>
            </w:r>
          </w:p>
          <w:p w14:paraId="282981F3" w14:textId="77777777" w:rsidR="00833918" w:rsidRPr="005F2D88" w:rsidRDefault="00833918" w:rsidP="00833918">
            <w:pPr>
              <w:tabs>
                <w:tab w:val="left" w:pos="9000"/>
              </w:tabs>
              <w:jc w:val="center"/>
              <w:rPr>
                <w:rFonts w:asciiTheme="majorHAnsi" w:hAnsiTheme="majorHAnsi"/>
                <w:b/>
                <w:bCs/>
                <w:color w:val="000000"/>
              </w:rPr>
            </w:pPr>
            <w:r w:rsidRPr="005F2D88">
              <w:rPr>
                <w:rFonts w:asciiTheme="majorHAnsi" w:hAnsiTheme="majorHAnsi"/>
                <w:b/>
                <w:bCs/>
                <w:color w:val="000000"/>
              </w:rPr>
              <w:t>(MTCDE)</w:t>
            </w:r>
          </w:p>
        </w:tc>
        <w:tc>
          <w:tcPr>
            <w:tcW w:w="1080" w:type="dxa"/>
          </w:tcPr>
          <w:p w14:paraId="5B6B0DC9" w14:textId="77777777" w:rsidR="00833918" w:rsidRPr="005F2D88" w:rsidRDefault="00833918" w:rsidP="00833918">
            <w:pPr>
              <w:tabs>
                <w:tab w:val="left" w:pos="9000"/>
              </w:tabs>
              <w:jc w:val="center"/>
              <w:rPr>
                <w:rFonts w:asciiTheme="majorHAnsi" w:hAnsiTheme="majorHAnsi"/>
                <w:b/>
                <w:bCs/>
                <w:color w:val="000000"/>
              </w:rPr>
            </w:pPr>
            <w:r w:rsidRPr="005F2D88">
              <w:rPr>
                <w:rFonts w:asciiTheme="majorHAnsi" w:hAnsiTheme="majorHAnsi"/>
                <w:b/>
                <w:bCs/>
                <w:color w:val="000000"/>
              </w:rPr>
              <w:t>Change in MTCDE from 2011 to 2016</w:t>
            </w:r>
          </w:p>
        </w:tc>
        <w:tc>
          <w:tcPr>
            <w:tcW w:w="1080" w:type="dxa"/>
          </w:tcPr>
          <w:p w14:paraId="34FCAEF0" w14:textId="77777777" w:rsidR="00833918" w:rsidRPr="005F2D88" w:rsidRDefault="00833918" w:rsidP="00833918">
            <w:pPr>
              <w:tabs>
                <w:tab w:val="left" w:pos="9000"/>
              </w:tabs>
              <w:jc w:val="center"/>
              <w:rPr>
                <w:rFonts w:asciiTheme="majorHAnsi" w:hAnsiTheme="majorHAnsi"/>
                <w:b/>
                <w:bCs/>
                <w:color w:val="000000"/>
              </w:rPr>
            </w:pPr>
            <w:r w:rsidRPr="005F2D88">
              <w:rPr>
                <w:rFonts w:asciiTheme="majorHAnsi" w:hAnsiTheme="majorHAnsi"/>
                <w:b/>
                <w:bCs/>
                <w:color w:val="000000"/>
              </w:rPr>
              <w:t>Change in MTCDE from 2015 to 2016</w:t>
            </w:r>
          </w:p>
        </w:tc>
        <w:tc>
          <w:tcPr>
            <w:tcW w:w="1142" w:type="dxa"/>
            <w:noWrap/>
            <w:hideMark/>
          </w:tcPr>
          <w:p w14:paraId="5CCFFBA3" w14:textId="77777777" w:rsidR="00833918" w:rsidRDefault="00833918" w:rsidP="00833918">
            <w:pPr>
              <w:tabs>
                <w:tab w:val="left" w:pos="9000"/>
              </w:tabs>
              <w:jc w:val="center"/>
              <w:rPr>
                <w:rFonts w:asciiTheme="majorHAnsi" w:hAnsiTheme="majorHAnsi"/>
                <w:b/>
                <w:bCs/>
                <w:color w:val="000000"/>
              </w:rPr>
            </w:pPr>
            <w:r w:rsidRPr="005F2D88">
              <w:rPr>
                <w:rFonts w:asciiTheme="majorHAnsi" w:hAnsiTheme="majorHAnsi"/>
                <w:b/>
                <w:bCs/>
                <w:color w:val="000000"/>
              </w:rPr>
              <w:t xml:space="preserve">% Change from </w:t>
            </w:r>
          </w:p>
          <w:p w14:paraId="31F57CE0" w14:textId="77777777" w:rsidR="00833918" w:rsidRPr="005F2D88" w:rsidRDefault="00833918" w:rsidP="00833918">
            <w:pPr>
              <w:tabs>
                <w:tab w:val="left" w:pos="9000"/>
              </w:tabs>
              <w:jc w:val="center"/>
              <w:rPr>
                <w:rFonts w:asciiTheme="majorHAnsi" w:hAnsiTheme="majorHAnsi"/>
                <w:b/>
                <w:bCs/>
                <w:color w:val="000000"/>
              </w:rPr>
            </w:pPr>
            <w:r w:rsidRPr="005F2D88">
              <w:rPr>
                <w:rFonts w:asciiTheme="majorHAnsi" w:hAnsiTheme="majorHAnsi"/>
                <w:b/>
                <w:bCs/>
                <w:color w:val="000000"/>
              </w:rPr>
              <w:t>2015 to 2016</w:t>
            </w:r>
          </w:p>
        </w:tc>
      </w:tr>
      <w:tr w:rsidR="00833918" w:rsidRPr="005F2D88" w14:paraId="62F0A423" w14:textId="77777777" w:rsidTr="00833918">
        <w:trPr>
          <w:trHeight w:val="300"/>
        </w:trPr>
        <w:tc>
          <w:tcPr>
            <w:tcW w:w="1474" w:type="dxa"/>
            <w:noWrap/>
            <w:vAlign w:val="center"/>
            <w:hideMark/>
          </w:tcPr>
          <w:p w14:paraId="553037EA" w14:textId="77777777" w:rsidR="00833918" w:rsidRPr="005F2D88" w:rsidRDefault="00833918" w:rsidP="00833918">
            <w:pPr>
              <w:tabs>
                <w:tab w:val="left" w:pos="9000"/>
              </w:tabs>
              <w:jc w:val="right"/>
              <w:rPr>
                <w:rFonts w:asciiTheme="majorHAnsi" w:hAnsiTheme="majorHAnsi"/>
                <w:color w:val="000000"/>
              </w:rPr>
            </w:pPr>
            <w:r w:rsidRPr="005F2D88">
              <w:rPr>
                <w:rFonts w:asciiTheme="majorHAnsi" w:hAnsiTheme="majorHAnsi"/>
                <w:color w:val="000000"/>
              </w:rPr>
              <w:t>Streetlights</w:t>
            </w:r>
          </w:p>
        </w:tc>
        <w:tc>
          <w:tcPr>
            <w:tcW w:w="1080" w:type="dxa"/>
            <w:noWrap/>
            <w:hideMark/>
          </w:tcPr>
          <w:p w14:paraId="35DDFC54" w14:textId="77777777" w:rsidR="00833918" w:rsidRPr="005F2D88" w:rsidRDefault="00833918" w:rsidP="00833918">
            <w:pPr>
              <w:tabs>
                <w:tab w:val="left" w:pos="9000"/>
              </w:tabs>
              <w:jc w:val="right"/>
              <w:rPr>
                <w:rFonts w:asciiTheme="majorHAnsi" w:hAnsiTheme="majorHAnsi"/>
                <w:color w:val="000000"/>
                <w:sz w:val="24"/>
                <w:szCs w:val="24"/>
              </w:rPr>
            </w:pPr>
            <w:r w:rsidRPr="005F2D88">
              <w:rPr>
                <w:rFonts w:asciiTheme="majorHAnsi" w:hAnsiTheme="majorHAnsi"/>
                <w:color w:val="000000"/>
                <w:sz w:val="24"/>
                <w:szCs w:val="24"/>
              </w:rPr>
              <w:t>392.3</w:t>
            </w:r>
          </w:p>
        </w:tc>
        <w:tc>
          <w:tcPr>
            <w:tcW w:w="1080" w:type="dxa"/>
            <w:noWrap/>
            <w:hideMark/>
          </w:tcPr>
          <w:p w14:paraId="2025E0B5" w14:textId="77777777" w:rsidR="00833918" w:rsidRPr="005F2D88" w:rsidRDefault="00833918" w:rsidP="00833918">
            <w:pPr>
              <w:tabs>
                <w:tab w:val="left" w:pos="9000"/>
              </w:tabs>
              <w:jc w:val="right"/>
              <w:rPr>
                <w:rFonts w:asciiTheme="majorHAnsi" w:hAnsiTheme="majorHAnsi"/>
                <w:color w:val="000000"/>
                <w:sz w:val="24"/>
                <w:szCs w:val="24"/>
              </w:rPr>
            </w:pPr>
            <w:r w:rsidRPr="005F2D88">
              <w:rPr>
                <w:rFonts w:asciiTheme="majorHAnsi" w:hAnsiTheme="majorHAnsi"/>
                <w:color w:val="000000"/>
                <w:sz w:val="24"/>
                <w:szCs w:val="24"/>
              </w:rPr>
              <w:t>310.8</w:t>
            </w:r>
          </w:p>
        </w:tc>
        <w:tc>
          <w:tcPr>
            <w:tcW w:w="1080" w:type="dxa"/>
          </w:tcPr>
          <w:p w14:paraId="682A5073" w14:textId="77777777" w:rsidR="00833918" w:rsidRPr="005F2D88" w:rsidRDefault="00833918" w:rsidP="00833918">
            <w:pPr>
              <w:tabs>
                <w:tab w:val="left" w:pos="9000"/>
              </w:tabs>
              <w:jc w:val="right"/>
              <w:rPr>
                <w:rFonts w:asciiTheme="majorHAnsi" w:hAnsiTheme="majorHAnsi"/>
                <w:color w:val="000000"/>
                <w:sz w:val="24"/>
                <w:szCs w:val="24"/>
              </w:rPr>
            </w:pPr>
            <w:r w:rsidRPr="005F2D88">
              <w:rPr>
                <w:rFonts w:asciiTheme="majorHAnsi" w:hAnsiTheme="majorHAnsi"/>
                <w:color w:val="000000"/>
                <w:sz w:val="24"/>
                <w:szCs w:val="24"/>
              </w:rPr>
              <w:t>300.4</w:t>
            </w:r>
          </w:p>
        </w:tc>
        <w:tc>
          <w:tcPr>
            <w:tcW w:w="1080" w:type="dxa"/>
          </w:tcPr>
          <w:p w14:paraId="3A5D3DAB" w14:textId="77777777" w:rsidR="00833918" w:rsidRPr="005F2D88" w:rsidRDefault="00833918" w:rsidP="00833918">
            <w:pPr>
              <w:tabs>
                <w:tab w:val="left" w:pos="9000"/>
              </w:tabs>
              <w:jc w:val="right"/>
              <w:rPr>
                <w:rFonts w:asciiTheme="majorHAnsi" w:hAnsiTheme="majorHAnsi"/>
                <w:color w:val="000000"/>
                <w:sz w:val="24"/>
                <w:szCs w:val="24"/>
              </w:rPr>
            </w:pPr>
            <w:r w:rsidRPr="005F2D88">
              <w:rPr>
                <w:rFonts w:asciiTheme="majorHAnsi" w:hAnsiTheme="majorHAnsi"/>
                <w:color w:val="000000"/>
                <w:sz w:val="24"/>
                <w:szCs w:val="24"/>
              </w:rPr>
              <w:t>305.9</w:t>
            </w:r>
          </w:p>
        </w:tc>
        <w:tc>
          <w:tcPr>
            <w:tcW w:w="1080" w:type="dxa"/>
          </w:tcPr>
          <w:p w14:paraId="2613A68F" w14:textId="77777777" w:rsidR="00833918" w:rsidRPr="005F2D88" w:rsidRDefault="00833918" w:rsidP="00833918">
            <w:pPr>
              <w:tabs>
                <w:tab w:val="left" w:pos="9000"/>
              </w:tabs>
              <w:jc w:val="center"/>
              <w:rPr>
                <w:rFonts w:asciiTheme="majorHAnsi" w:hAnsiTheme="majorHAnsi"/>
                <w:color w:val="008000"/>
                <w:sz w:val="24"/>
                <w:szCs w:val="24"/>
              </w:rPr>
            </w:pPr>
            <w:r w:rsidRPr="005F2D88">
              <w:rPr>
                <w:rFonts w:asciiTheme="majorHAnsi" w:hAnsiTheme="majorHAnsi"/>
                <w:color w:val="008000"/>
                <w:sz w:val="24"/>
                <w:szCs w:val="24"/>
              </w:rPr>
              <w:t>-86.4</w:t>
            </w:r>
          </w:p>
        </w:tc>
        <w:tc>
          <w:tcPr>
            <w:tcW w:w="1080" w:type="dxa"/>
          </w:tcPr>
          <w:p w14:paraId="5AE982D4" w14:textId="77777777" w:rsidR="00833918" w:rsidRPr="005F2D88" w:rsidRDefault="00833918" w:rsidP="00833918">
            <w:pPr>
              <w:tabs>
                <w:tab w:val="left" w:pos="9000"/>
              </w:tabs>
              <w:jc w:val="center"/>
              <w:rPr>
                <w:rFonts w:asciiTheme="majorHAnsi" w:hAnsiTheme="majorHAnsi"/>
                <w:color w:val="FF0000"/>
                <w:sz w:val="24"/>
                <w:szCs w:val="24"/>
              </w:rPr>
            </w:pPr>
            <w:r w:rsidRPr="005F2D88">
              <w:rPr>
                <w:rFonts w:asciiTheme="majorHAnsi" w:hAnsiTheme="majorHAnsi"/>
                <w:color w:val="FF0000"/>
                <w:sz w:val="24"/>
                <w:szCs w:val="24"/>
              </w:rPr>
              <w:t>5.5</w:t>
            </w:r>
          </w:p>
        </w:tc>
        <w:tc>
          <w:tcPr>
            <w:tcW w:w="1142" w:type="dxa"/>
            <w:noWrap/>
            <w:hideMark/>
          </w:tcPr>
          <w:p w14:paraId="4B4CF8C6" w14:textId="77777777" w:rsidR="00833918" w:rsidRPr="005F2D88" w:rsidRDefault="00833918" w:rsidP="00833918">
            <w:pPr>
              <w:tabs>
                <w:tab w:val="left" w:pos="9000"/>
              </w:tabs>
              <w:jc w:val="center"/>
              <w:rPr>
                <w:rFonts w:asciiTheme="majorHAnsi" w:hAnsiTheme="majorHAnsi"/>
                <w:color w:val="FF0000"/>
                <w:sz w:val="24"/>
                <w:szCs w:val="24"/>
              </w:rPr>
            </w:pPr>
            <w:r w:rsidRPr="005F2D88">
              <w:rPr>
                <w:rFonts w:asciiTheme="majorHAnsi" w:hAnsiTheme="majorHAnsi"/>
                <w:color w:val="FF0000"/>
                <w:sz w:val="24"/>
                <w:szCs w:val="24"/>
              </w:rPr>
              <w:t>1.8</w:t>
            </w:r>
          </w:p>
        </w:tc>
      </w:tr>
      <w:tr w:rsidR="00833918" w:rsidRPr="005F2D88" w14:paraId="2D0CF45F" w14:textId="77777777" w:rsidTr="00833918">
        <w:trPr>
          <w:trHeight w:val="300"/>
        </w:trPr>
        <w:tc>
          <w:tcPr>
            <w:tcW w:w="1474" w:type="dxa"/>
            <w:noWrap/>
            <w:vAlign w:val="center"/>
            <w:hideMark/>
          </w:tcPr>
          <w:p w14:paraId="44D5B53F" w14:textId="77777777" w:rsidR="00833918" w:rsidRPr="005F2D88" w:rsidRDefault="00833918" w:rsidP="00833918">
            <w:pPr>
              <w:tabs>
                <w:tab w:val="left" w:pos="9000"/>
              </w:tabs>
              <w:jc w:val="right"/>
              <w:rPr>
                <w:rFonts w:asciiTheme="majorHAnsi" w:hAnsiTheme="majorHAnsi"/>
                <w:color w:val="000000"/>
              </w:rPr>
            </w:pPr>
            <w:r w:rsidRPr="005F2D88">
              <w:rPr>
                <w:rFonts w:asciiTheme="majorHAnsi" w:hAnsiTheme="majorHAnsi"/>
                <w:color w:val="000000"/>
              </w:rPr>
              <w:t>Police Fuel</w:t>
            </w:r>
          </w:p>
        </w:tc>
        <w:tc>
          <w:tcPr>
            <w:tcW w:w="1080" w:type="dxa"/>
            <w:noWrap/>
            <w:hideMark/>
          </w:tcPr>
          <w:p w14:paraId="55970641" w14:textId="77777777" w:rsidR="00833918" w:rsidRPr="005F2D88" w:rsidRDefault="00833918" w:rsidP="00833918">
            <w:pPr>
              <w:tabs>
                <w:tab w:val="left" w:pos="9000"/>
              </w:tabs>
              <w:jc w:val="right"/>
              <w:rPr>
                <w:rFonts w:asciiTheme="majorHAnsi" w:hAnsiTheme="majorHAnsi"/>
                <w:color w:val="000000"/>
                <w:sz w:val="24"/>
                <w:szCs w:val="24"/>
              </w:rPr>
            </w:pPr>
            <w:r w:rsidRPr="005F2D88">
              <w:rPr>
                <w:rFonts w:asciiTheme="majorHAnsi" w:hAnsiTheme="majorHAnsi"/>
                <w:color w:val="000000"/>
                <w:sz w:val="24"/>
                <w:szCs w:val="24"/>
              </w:rPr>
              <w:t>303.9</w:t>
            </w:r>
          </w:p>
        </w:tc>
        <w:tc>
          <w:tcPr>
            <w:tcW w:w="1080" w:type="dxa"/>
            <w:noWrap/>
            <w:hideMark/>
          </w:tcPr>
          <w:p w14:paraId="1DD7D9AF" w14:textId="77777777" w:rsidR="00833918" w:rsidRPr="005F2D88" w:rsidRDefault="00833918" w:rsidP="00833918">
            <w:pPr>
              <w:tabs>
                <w:tab w:val="left" w:pos="9000"/>
              </w:tabs>
              <w:jc w:val="right"/>
              <w:rPr>
                <w:rFonts w:asciiTheme="majorHAnsi" w:hAnsiTheme="majorHAnsi"/>
                <w:color w:val="000000"/>
                <w:sz w:val="24"/>
                <w:szCs w:val="24"/>
              </w:rPr>
            </w:pPr>
            <w:r w:rsidRPr="005F2D88">
              <w:rPr>
                <w:rFonts w:asciiTheme="majorHAnsi" w:hAnsiTheme="majorHAnsi"/>
                <w:color w:val="000000"/>
                <w:sz w:val="24"/>
                <w:szCs w:val="24"/>
              </w:rPr>
              <w:t>273.6</w:t>
            </w:r>
          </w:p>
        </w:tc>
        <w:tc>
          <w:tcPr>
            <w:tcW w:w="1080" w:type="dxa"/>
          </w:tcPr>
          <w:p w14:paraId="7CC6E1E4" w14:textId="77777777" w:rsidR="00833918" w:rsidRPr="005F2D88" w:rsidRDefault="00833918" w:rsidP="00833918">
            <w:pPr>
              <w:tabs>
                <w:tab w:val="left" w:pos="9000"/>
              </w:tabs>
              <w:jc w:val="right"/>
              <w:rPr>
                <w:rFonts w:asciiTheme="majorHAnsi" w:hAnsiTheme="majorHAnsi"/>
                <w:color w:val="000000"/>
                <w:sz w:val="24"/>
                <w:szCs w:val="24"/>
              </w:rPr>
            </w:pPr>
            <w:r w:rsidRPr="005F2D88">
              <w:rPr>
                <w:rFonts w:asciiTheme="majorHAnsi" w:hAnsiTheme="majorHAnsi"/>
                <w:color w:val="000000"/>
                <w:sz w:val="24"/>
                <w:szCs w:val="24"/>
              </w:rPr>
              <w:t>272.3</w:t>
            </w:r>
          </w:p>
        </w:tc>
        <w:tc>
          <w:tcPr>
            <w:tcW w:w="1080" w:type="dxa"/>
          </w:tcPr>
          <w:p w14:paraId="74D4E76E" w14:textId="77777777" w:rsidR="00833918" w:rsidRPr="005F2D88" w:rsidRDefault="00833918" w:rsidP="00833918">
            <w:pPr>
              <w:tabs>
                <w:tab w:val="left" w:pos="9000"/>
              </w:tabs>
              <w:jc w:val="right"/>
              <w:rPr>
                <w:rFonts w:asciiTheme="majorHAnsi" w:hAnsiTheme="majorHAnsi"/>
                <w:color w:val="000000"/>
                <w:sz w:val="24"/>
                <w:szCs w:val="24"/>
              </w:rPr>
            </w:pPr>
            <w:r w:rsidRPr="005F2D88">
              <w:rPr>
                <w:rFonts w:asciiTheme="majorHAnsi" w:hAnsiTheme="majorHAnsi"/>
                <w:color w:val="000000"/>
                <w:sz w:val="24"/>
                <w:szCs w:val="24"/>
              </w:rPr>
              <w:t>290.0</w:t>
            </w:r>
          </w:p>
        </w:tc>
        <w:tc>
          <w:tcPr>
            <w:tcW w:w="1080" w:type="dxa"/>
          </w:tcPr>
          <w:p w14:paraId="26BF4DB1" w14:textId="77777777" w:rsidR="00833918" w:rsidRPr="005F2D88" w:rsidRDefault="00833918" w:rsidP="00833918">
            <w:pPr>
              <w:tabs>
                <w:tab w:val="left" w:pos="9000"/>
              </w:tabs>
              <w:jc w:val="center"/>
              <w:rPr>
                <w:rFonts w:asciiTheme="majorHAnsi" w:hAnsiTheme="majorHAnsi"/>
                <w:color w:val="008000"/>
                <w:sz w:val="24"/>
                <w:szCs w:val="24"/>
              </w:rPr>
            </w:pPr>
            <w:r w:rsidRPr="005F2D88">
              <w:rPr>
                <w:rFonts w:asciiTheme="majorHAnsi" w:hAnsiTheme="majorHAnsi"/>
                <w:color w:val="008000"/>
                <w:sz w:val="24"/>
                <w:szCs w:val="24"/>
              </w:rPr>
              <w:t>-13.9</w:t>
            </w:r>
          </w:p>
        </w:tc>
        <w:tc>
          <w:tcPr>
            <w:tcW w:w="1080" w:type="dxa"/>
          </w:tcPr>
          <w:p w14:paraId="141433FA" w14:textId="77777777" w:rsidR="00833918" w:rsidRPr="005F2D88" w:rsidRDefault="00833918" w:rsidP="00833918">
            <w:pPr>
              <w:tabs>
                <w:tab w:val="left" w:pos="9000"/>
              </w:tabs>
              <w:jc w:val="center"/>
              <w:rPr>
                <w:rFonts w:asciiTheme="majorHAnsi" w:hAnsiTheme="majorHAnsi"/>
                <w:color w:val="FF0000"/>
                <w:sz w:val="24"/>
                <w:szCs w:val="24"/>
              </w:rPr>
            </w:pPr>
            <w:r w:rsidRPr="005F2D88">
              <w:rPr>
                <w:rFonts w:asciiTheme="majorHAnsi" w:hAnsiTheme="majorHAnsi"/>
                <w:color w:val="FF0000"/>
                <w:sz w:val="24"/>
                <w:szCs w:val="24"/>
              </w:rPr>
              <w:t>17.7</w:t>
            </w:r>
          </w:p>
        </w:tc>
        <w:tc>
          <w:tcPr>
            <w:tcW w:w="1142" w:type="dxa"/>
            <w:noWrap/>
            <w:hideMark/>
          </w:tcPr>
          <w:p w14:paraId="661ACBE5" w14:textId="77777777" w:rsidR="00833918" w:rsidRPr="005F2D88" w:rsidRDefault="00833918" w:rsidP="00833918">
            <w:pPr>
              <w:tabs>
                <w:tab w:val="left" w:pos="9000"/>
              </w:tabs>
              <w:jc w:val="center"/>
              <w:rPr>
                <w:rFonts w:asciiTheme="majorHAnsi" w:hAnsiTheme="majorHAnsi"/>
                <w:color w:val="FF0000"/>
                <w:sz w:val="24"/>
                <w:szCs w:val="24"/>
              </w:rPr>
            </w:pPr>
            <w:r w:rsidRPr="005F2D88">
              <w:rPr>
                <w:rFonts w:asciiTheme="majorHAnsi" w:hAnsiTheme="majorHAnsi"/>
                <w:color w:val="FF0000"/>
                <w:sz w:val="24"/>
                <w:szCs w:val="24"/>
              </w:rPr>
              <w:t>6.1</w:t>
            </w:r>
          </w:p>
        </w:tc>
      </w:tr>
      <w:tr w:rsidR="00833918" w:rsidRPr="005F2D88" w14:paraId="1A021A01" w14:textId="77777777" w:rsidTr="00833918">
        <w:trPr>
          <w:trHeight w:val="300"/>
        </w:trPr>
        <w:tc>
          <w:tcPr>
            <w:tcW w:w="1474" w:type="dxa"/>
            <w:noWrap/>
            <w:vAlign w:val="center"/>
            <w:hideMark/>
          </w:tcPr>
          <w:p w14:paraId="6507B4BB" w14:textId="77777777" w:rsidR="00833918" w:rsidRPr="005F2D88" w:rsidRDefault="00833918" w:rsidP="00833918">
            <w:pPr>
              <w:tabs>
                <w:tab w:val="left" w:pos="9000"/>
              </w:tabs>
              <w:jc w:val="right"/>
              <w:rPr>
                <w:rFonts w:asciiTheme="majorHAnsi" w:hAnsiTheme="majorHAnsi"/>
                <w:color w:val="000000"/>
              </w:rPr>
            </w:pPr>
            <w:r w:rsidRPr="005F2D88">
              <w:rPr>
                <w:rFonts w:asciiTheme="majorHAnsi" w:hAnsiTheme="majorHAnsi"/>
                <w:color w:val="000000"/>
              </w:rPr>
              <w:t>PW Fuel</w:t>
            </w:r>
          </w:p>
        </w:tc>
        <w:tc>
          <w:tcPr>
            <w:tcW w:w="1080" w:type="dxa"/>
            <w:noWrap/>
            <w:hideMark/>
          </w:tcPr>
          <w:p w14:paraId="73AD4A10" w14:textId="77777777" w:rsidR="00833918" w:rsidRPr="005F2D88" w:rsidRDefault="00833918" w:rsidP="00833918">
            <w:pPr>
              <w:tabs>
                <w:tab w:val="left" w:pos="9000"/>
              </w:tabs>
              <w:jc w:val="right"/>
              <w:rPr>
                <w:rFonts w:asciiTheme="majorHAnsi" w:hAnsiTheme="majorHAnsi"/>
                <w:color w:val="000000"/>
                <w:sz w:val="24"/>
                <w:szCs w:val="24"/>
              </w:rPr>
            </w:pPr>
            <w:r w:rsidRPr="005F2D88">
              <w:rPr>
                <w:rFonts w:asciiTheme="majorHAnsi" w:hAnsiTheme="majorHAnsi"/>
                <w:color w:val="000000"/>
                <w:sz w:val="24"/>
                <w:szCs w:val="24"/>
              </w:rPr>
              <w:t>287.0</w:t>
            </w:r>
          </w:p>
        </w:tc>
        <w:tc>
          <w:tcPr>
            <w:tcW w:w="1080" w:type="dxa"/>
            <w:noWrap/>
            <w:hideMark/>
          </w:tcPr>
          <w:p w14:paraId="59FF49BD" w14:textId="77777777" w:rsidR="00833918" w:rsidRPr="005F2D88" w:rsidRDefault="00833918" w:rsidP="00833918">
            <w:pPr>
              <w:tabs>
                <w:tab w:val="left" w:pos="9000"/>
              </w:tabs>
              <w:jc w:val="right"/>
              <w:rPr>
                <w:rFonts w:asciiTheme="majorHAnsi" w:hAnsiTheme="majorHAnsi"/>
                <w:color w:val="000000"/>
                <w:sz w:val="24"/>
                <w:szCs w:val="24"/>
              </w:rPr>
            </w:pPr>
            <w:r w:rsidRPr="005F2D88">
              <w:rPr>
                <w:rFonts w:asciiTheme="majorHAnsi" w:hAnsiTheme="majorHAnsi"/>
                <w:color w:val="000000"/>
                <w:sz w:val="24"/>
                <w:szCs w:val="24"/>
              </w:rPr>
              <w:t>340.1</w:t>
            </w:r>
          </w:p>
        </w:tc>
        <w:tc>
          <w:tcPr>
            <w:tcW w:w="1080" w:type="dxa"/>
          </w:tcPr>
          <w:p w14:paraId="31BCB04D" w14:textId="77777777" w:rsidR="00833918" w:rsidRPr="005F2D88" w:rsidRDefault="00833918" w:rsidP="00833918">
            <w:pPr>
              <w:tabs>
                <w:tab w:val="left" w:pos="9000"/>
              </w:tabs>
              <w:jc w:val="right"/>
              <w:rPr>
                <w:rFonts w:asciiTheme="majorHAnsi" w:hAnsiTheme="majorHAnsi"/>
                <w:color w:val="000000"/>
                <w:sz w:val="24"/>
                <w:szCs w:val="24"/>
              </w:rPr>
            </w:pPr>
            <w:r w:rsidRPr="005F2D88">
              <w:rPr>
                <w:rFonts w:asciiTheme="majorHAnsi" w:hAnsiTheme="majorHAnsi"/>
                <w:color w:val="000000"/>
                <w:sz w:val="24"/>
                <w:szCs w:val="24"/>
              </w:rPr>
              <w:t>325.3</w:t>
            </w:r>
          </w:p>
        </w:tc>
        <w:tc>
          <w:tcPr>
            <w:tcW w:w="1080" w:type="dxa"/>
          </w:tcPr>
          <w:p w14:paraId="2EC44F3E" w14:textId="77777777" w:rsidR="00833918" w:rsidRPr="005F2D88" w:rsidRDefault="00833918" w:rsidP="00833918">
            <w:pPr>
              <w:tabs>
                <w:tab w:val="left" w:pos="9000"/>
              </w:tabs>
              <w:jc w:val="right"/>
              <w:rPr>
                <w:rFonts w:asciiTheme="majorHAnsi" w:hAnsiTheme="majorHAnsi"/>
                <w:color w:val="000000"/>
                <w:sz w:val="24"/>
                <w:szCs w:val="24"/>
              </w:rPr>
            </w:pPr>
            <w:r w:rsidRPr="005F2D88">
              <w:rPr>
                <w:rFonts w:asciiTheme="majorHAnsi" w:hAnsiTheme="majorHAnsi"/>
                <w:color w:val="000000"/>
                <w:sz w:val="24"/>
                <w:szCs w:val="24"/>
              </w:rPr>
              <w:t>307.8</w:t>
            </w:r>
          </w:p>
        </w:tc>
        <w:tc>
          <w:tcPr>
            <w:tcW w:w="1080" w:type="dxa"/>
          </w:tcPr>
          <w:p w14:paraId="3C20CC20" w14:textId="77777777" w:rsidR="00833918" w:rsidRPr="00A03B8D" w:rsidRDefault="00833918" w:rsidP="00833918">
            <w:pPr>
              <w:tabs>
                <w:tab w:val="left" w:pos="9000"/>
              </w:tabs>
              <w:jc w:val="center"/>
              <w:rPr>
                <w:rFonts w:asciiTheme="majorHAnsi" w:hAnsiTheme="majorHAnsi"/>
                <w:color w:val="FF0000"/>
                <w:sz w:val="24"/>
                <w:szCs w:val="24"/>
              </w:rPr>
            </w:pPr>
            <w:r w:rsidRPr="00A03B8D">
              <w:rPr>
                <w:rFonts w:asciiTheme="majorHAnsi" w:hAnsiTheme="majorHAnsi"/>
                <w:color w:val="FF0000"/>
                <w:sz w:val="24"/>
                <w:szCs w:val="24"/>
              </w:rPr>
              <w:t>20.8</w:t>
            </w:r>
          </w:p>
        </w:tc>
        <w:tc>
          <w:tcPr>
            <w:tcW w:w="1080" w:type="dxa"/>
          </w:tcPr>
          <w:p w14:paraId="5143AFDB" w14:textId="77777777" w:rsidR="00833918" w:rsidRPr="005F2D88" w:rsidRDefault="00833918" w:rsidP="00833918">
            <w:pPr>
              <w:tabs>
                <w:tab w:val="left" w:pos="9000"/>
              </w:tabs>
              <w:jc w:val="center"/>
              <w:rPr>
                <w:rFonts w:asciiTheme="majorHAnsi" w:hAnsiTheme="majorHAnsi"/>
                <w:color w:val="008000"/>
                <w:sz w:val="24"/>
                <w:szCs w:val="24"/>
              </w:rPr>
            </w:pPr>
            <w:r w:rsidRPr="005F2D88">
              <w:rPr>
                <w:rFonts w:asciiTheme="majorHAnsi" w:hAnsiTheme="majorHAnsi"/>
                <w:color w:val="008000"/>
                <w:sz w:val="24"/>
                <w:szCs w:val="24"/>
              </w:rPr>
              <w:t>-17.5</w:t>
            </w:r>
          </w:p>
        </w:tc>
        <w:tc>
          <w:tcPr>
            <w:tcW w:w="1142" w:type="dxa"/>
            <w:noWrap/>
            <w:hideMark/>
          </w:tcPr>
          <w:p w14:paraId="2CBE424C" w14:textId="77777777" w:rsidR="00833918" w:rsidRPr="005F2D88" w:rsidRDefault="00833918" w:rsidP="00833918">
            <w:pPr>
              <w:tabs>
                <w:tab w:val="left" w:pos="9000"/>
              </w:tabs>
              <w:jc w:val="center"/>
              <w:rPr>
                <w:rFonts w:asciiTheme="majorHAnsi" w:hAnsiTheme="majorHAnsi"/>
                <w:color w:val="008000"/>
                <w:sz w:val="24"/>
                <w:szCs w:val="24"/>
              </w:rPr>
            </w:pPr>
            <w:r w:rsidRPr="005F2D88">
              <w:rPr>
                <w:rFonts w:asciiTheme="majorHAnsi" w:hAnsiTheme="majorHAnsi"/>
                <w:color w:val="008000"/>
                <w:sz w:val="24"/>
                <w:szCs w:val="24"/>
              </w:rPr>
              <w:t>-5.7</w:t>
            </w:r>
          </w:p>
        </w:tc>
      </w:tr>
      <w:tr w:rsidR="00833918" w:rsidRPr="005F2D88" w14:paraId="38E3DFFF" w14:textId="77777777" w:rsidTr="00833918">
        <w:trPr>
          <w:trHeight w:val="300"/>
        </w:trPr>
        <w:tc>
          <w:tcPr>
            <w:tcW w:w="1474" w:type="dxa"/>
            <w:noWrap/>
            <w:vAlign w:val="center"/>
            <w:hideMark/>
          </w:tcPr>
          <w:p w14:paraId="5DAC5B46" w14:textId="77777777" w:rsidR="00833918" w:rsidRPr="005F2D88" w:rsidRDefault="00833918" w:rsidP="00833918">
            <w:pPr>
              <w:tabs>
                <w:tab w:val="left" w:pos="9000"/>
              </w:tabs>
              <w:jc w:val="right"/>
              <w:rPr>
                <w:rFonts w:asciiTheme="majorHAnsi" w:hAnsiTheme="majorHAnsi"/>
                <w:color w:val="000000"/>
              </w:rPr>
            </w:pPr>
            <w:r w:rsidRPr="005F2D88">
              <w:rPr>
                <w:rFonts w:asciiTheme="majorHAnsi" w:hAnsiTheme="majorHAnsi"/>
                <w:color w:val="000000"/>
              </w:rPr>
              <w:t>Century Center</w:t>
            </w:r>
          </w:p>
        </w:tc>
        <w:tc>
          <w:tcPr>
            <w:tcW w:w="1080" w:type="dxa"/>
            <w:noWrap/>
            <w:hideMark/>
          </w:tcPr>
          <w:p w14:paraId="38366E23" w14:textId="77777777" w:rsidR="00833918" w:rsidRPr="005F2D88" w:rsidRDefault="00833918" w:rsidP="00833918">
            <w:pPr>
              <w:tabs>
                <w:tab w:val="left" w:pos="9000"/>
              </w:tabs>
              <w:jc w:val="right"/>
              <w:rPr>
                <w:rFonts w:asciiTheme="majorHAnsi" w:hAnsiTheme="majorHAnsi"/>
                <w:color w:val="000000"/>
                <w:sz w:val="24"/>
                <w:szCs w:val="24"/>
              </w:rPr>
            </w:pPr>
            <w:r w:rsidRPr="005F2D88">
              <w:rPr>
                <w:rFonts w:asciiTheme="majorHAnsi" w:hAnsiTheme="majorHAnsi"/>
                <w:color w:val="000000"/>
                <w:sz w:val="24"/>
                <w:szCs w:val="24"/>
              </w:rPr>
              <w:t>278.3</w:t>
            </w:r>
          </w:p>
        </w:tc>
        <w:tc>
          <w:tcPr>
            <w:tcW w:w="1080" w:type="dxa"/>
            <w:noWrap/>
            <w:hideMark/>
          </w:tcPr>
          <w:p w14:paraId="1B2C0929" w14:textId="77777777" w:rsidR="00833918" w:rsidRPr="005F2D88" w:rsidRDefault="00833918" w:rsidP="00833918">
            <w:pPr>
              <w:tabs>
                <w:tab w:val="left" w:pos="9000"/>
              </w:tabs>
              <w:jc w:val="right"/>
              <w:rPr>
                <w:rFonts w:asciiTheme="majorHAnsi" w:hAnsiTheme="majorHAnsi"/>
                <w:color w:val="000000"/>
                <w:sz w:val="24"/>
                <w:szCs w:val="24"/>
              </w:rPr>
            </w:pPr>
            <w:r w:rsidRPr="005F2D88">
              <w:rPr>
                <w:rFonts w:asciiTheme="majorHAnsi" w:hAnsiTheme="majorHAnsi"/>
                <w:color w:val="000000"/>
                <w:sz w:val="24"/>
                <w:szCs w:val="24"/>
              </w:rPr>
              <w:t>265.4</w:t>
            </w:r>
          </w:p>
        </w:tc>
        <w:tc>
          <w:tcPr>
            <w:tcW w:w="1080" w:type="dxa"/>
          </w:tcPr>
          <w:p w14:paraId="03683893" w14:textId="77777777" w:rsidR="00833918" w:rsidRPr="005F2D88" w:rsidRDefault="00833918" w:rsidP="00833918">
            <w:pPr>
              <w:tabs>
                <w:tab w:val="left" w:pos="9000"/>
              </w:tabs>
              <w:jc w:val="right"/>
              <w:rPr>
                <w:rFonts w:asciiTheme="majorHAnsi" w:hAnsiTheme="majorHAnsi"/>
                <w:color w:val="000000"/>
                <w:sz w:val="24"/>
                <w:szCs w:val="24"/>
              </w:rPr>
            </w:pPr>
            <w:r w:rsidRPr="005F2D88">
              <w:rPr>
                <w:rFonts w:asciiTheme="majorHAnsi" w:hAnsiTheme="majorHAnsi"/>
                <w:color w:val="000000"/>
                <w:sz w:val="24"/>
                <w:szCs w:val="24"/>
              </w:rPr>
              <w:t>246.7</w:t>
            </w:r>
          </w:p>
        </w:tc>
        <w:tc>
          <w:tcPr>
            <w:tcW w:w="1080" w:type="dxa"/>
          </w:tcPr>
          <w:p w14:paraId="504F083D" w14:textId="77777777" w:rsidR="00833918" w:rsidRPr="005F2D88" w:rsidRDefault="00833918" w:rsidP="00833918">
            <w:pPr>
              <w:tabs>
                <w:tab w:val="left" w:pos="9000"/>
              </w:tabs>
              <w:jc w:val="right"/>
              <w:rPr>
                <w:rFonts w:asciiTheme="majorHAnsi" w:hAnsiTheme="majorHAnsi"/>
                <w:color w:val="000000"/>
                <w:sz w:val="24"/>
                <w:szCs w:val="24"/>
              </w:rPr>
            </w:pPr>
            <w:r w:rsidRPr="005F2D88">
              <w:rPr>
                <w:rFonts w:asciiTheme="majorHAnsi" w:hAnsiTheme="majorHAnsi"/>
                <w:color w:val="000000"/>
                <w:sz w:val="24"/>
                <w:szCs w:val="24"/>
              </w:rPr>
              <w:t>227.3</w:t>
            </w:r>
          </w:p>
        </w:tc>
        <w:tc>
          <w:tcPr>
            <w:tcW w:w="1080" w:type="dxa"/>
          </w:tcPr>
          <w:p w14:paraId="02FBE5C7" w14:textId="77777777" w:rsidR="00833918" w:rsidRPr="005F2D88" w:rsidRDefault="00833918" w:rsidP="00833918">
            <w:pPr>
              <w:tabs>
                <w:tab w:val="left" w:pos="9000"/>
              </w:tabs>
              <w:jc w:val="center"/>
              <w:rPr>
                <w:rFonts w:asciiTheme="majorHAnsi" w:hAnsiTheme="majorHAnsi"/>
                <w:color w:val="008000"/>
                <w:sz w:val="24"/>
                <w:szCs w:val="24"/>
              </w:rPr>
            </w:pPr>
            <w:r w:rsidRPr="005F2D88">
              <w:rPr>
                <w:rFonts w:asciiTheme="majorHAnsi" w:hAnsiTheme="majorHAnsi"/>
                <w:color w:val="008000"/>
                <w:sz w:val="24"/>
                <w:szCs w:val="24"/>
              </w:rPr>
              <w:t>-51.0</w:t>
            </w:r>
          </w:p>
        </w:tc>
        <w:tc>
          <w:tcPr>
            <w:tcW w:w="1080" w:type="dxa"/>
          </w:tcPr>
          <w:p w14:paraId="14AAC010" w14:textId="77777777" w:rsidR="00833918" w:rsidRPr="005F2D88" w:rsidRDefault="00833918" w:rsidP="00833918">
            <w:pPr>
              <w:tabs>
                <w:tab w:val="left" w:pos="9000"/>
              </w:tabs>
              <w:jc w:val="center"/>
              <w:rPr>
                <w:rFonts w:asciiTheme="majorHAnsi" w:hAnsiTheme="majorHAnsi"/>
                <w:color w:val="008000"/>
                <w:sz w:val="24"/>
                <w:szCs w:val="24"/>
              </w:rPr>
            </w:pPr>
            <w:r w:rsidRPr="005F2D88">
              <w:rPr>
                <w:rFonts w:asciiTheme="majorHAnsi" w:hAnsiTheme="majorHAnsi"/>
                <w:color w:val="008000"/>
                <w:sz w:val="24"/>
                <w:szCs w:val="24"/>
              </w:rPr>
              <w:t>-19.4</w:t>
            </w:r>
          </w:p>
        </w:tc>
        <w:tc>
          <w:tcPr>
            <w:tcW w:w="1142" w:type="dxa"/>
            <w:noWrap/>
            <w:hideMark/>
          </w:tcPr>
          <w:p w14:paraId="7596E534" w14:textId="77777777" w:rsidR="00833918" w:rsidRPr="005F2D88" w:rsidRDefault="00833918" w:rsidP="00833918">
            <w:pPr>
              <w:tabs>
                <w:tab w:val="left" w:pos="9000"/>
              </w:tabs>
              <w:jc w:val="center"/>
              <w:rPr>
                <w:rFonts w:asciiTheme="majorHAnsi" w:hAnsiTheme="majorHAnsi"/>
                <w:color w:val="008000"/>
                <w:sz w:val="24"/>
                <w:szCs w:val="24"/>
              </w:rPr>
            </w:pPr>
            <w:r w:rsidRPr="005F2D88">
              <w:rPr>
                <w:rFonts w:asciiTheme="majorHAnsi" w:hAnsiTheme="majorHAnsi"/>
                <w:color w:val="008000"/>
                <w:sz w:val="24"/>
                <w:szCs w:val="24"/>
              </w:rPr>
              <w:t>-8.5</w:t>
            </w:r>
          </w:p>
        </w:tc>
      </w:tr>
      <w:tr w:rsidR="00833918" w:rsidRPr="005F2D88" w14:paraId="0B2E261F" w14:textId="77777777" w:rsidTr="00833918">
        <w:trPr>
          <w:trHeight w:val="300"/>
        </w:trPr>
        <w:tc>
          <w:tcPr>
            <w:tcW w:w="1474" w:type="dxa"/>
            <w:noWrap/>
            <w:vAlign w:val="center"/>
            <w:hideMark/>
          </w:tcPr>
          <w:p w14:paraId="191506E4" w14:textId="77777777" w:rsidR="00833918" w:rsidRPr="005F2D88" w:rsidRDefault="00833918" w:rsidP="00833918">
            <w:pPr>
              <w:tabs>
                <w:tab w:val="left" w:pos="9000"/>
              </w:tabs>
              <w:jc w:val="right"/>
              <w:rPr>
                <w:rFonts w:asciiTheme="majorHAnsi" w:hAnsiTheme="majorHAnsi"/>
                <w:color w:val="000000"/>
              </w:rPr>
            </w:pPr>
            <w:r w:rsidRPr="005F2D88">
              <w:rPr>
                <w:rFonts w:asciiTheme="majorHAnsi" w:hAnsiTheme="majorHAnsi"/>
                <w:color w:val="000000"/>
              </w:rPr>
              <w:t>Fire Station #1</w:t>
            </w:r>
          </w:p>
        </w:tc>
        <w:tc>
          <w:tcPr>
            <w:tcW w:w="1080" w:type="dxa"/>
            <w:noWrap/>
            <w:hideMark/>
          </w:tcPr>
          <w:p w14:paraId="56B616B8" w14:textId="77777777" w:rsidR="00833918" w:rsidRPr="005F2D88" w:rsidRDefault="00833918" w:rsidP="00833918">
            <w:pPr>
              <w:tabs>
                <w:tab w:val="left" w:pos="9000"/>
              </w:tabs>
              <w:jc w:val="right"/>
              <w:rPr>
                <w:rFonts w:asciiTheme="majorHAnsi" w:hAnsiTheme="majorHAnsi"/>
                <w:color w:val="000000"/>
                <w:sz w:val="24"/>
                <w:szCs w:val="24"/>
              </w:rPr>
            </w:pPr>
            <w:r w:rsidRPr="005F2D88">
              <w:rPr>
                <w:rFonts w:asciiTheme="majorHAnsi" w:hAnsiTheme="majorHAnsi"/>
                <w:color w:val="000000"/>
                <w:sz w:val="24"/>
                <w:szCs w:val="24"/>
              </w:rPr>
              <w:t>125.4</w:t>
            </w:r>
          </w:p>
        </w:tc>
        <w:tc>
          <w:tcPr>
            <w:tcW w:w="1080" w:type="dxa"/>
            <w:noWrap/>
            <w:hideMark/>
          </w:tcPr>
          <w:p w14:paraId="22926C09" w14:textId="77777777" w:rsidR="00833918" w:rsidRPr="005F2D88" w:rsidRDefault="00833918" w:rsidP="00833918">
            <w:pPr>
              <w:tabs>
                <w:tab w:val="left" w:pos="9000"/>
              </w:tabs>
              <w:jc w:val="right"/>
              <w:rPr>
                <w:rFonts w:asciiTheme="majorHAnsi" w:hAnsiTheme="majorHAnsi"/>
                <w:color w:val="000000"/>
                <w:sz w:val="24"/>
                <w:szCs w:val="24"/>
              </w:rPr>
            </w:pPr>
            <w:r w:rsidRPr="005F2D88">
              <w:rPr>
                <w:rFonts w:asciiTheme="majorHAnsi" w:hAnsiTheme="majorHAnsi"/>
                <w:color w:val="000000"/>
                <w:sz w:val="24"/>
                <w:szCs w:val="24"/>
              </w:rPr>
              <w:t>89.9</w:t>
            </w:r>
          </w:p>
        </w:tc>
        <w:tc>
          <w:tcPr>
            <w:tcW w:w="1080" w:type="dxa"/>
          </w:tcPr>
          <w:p w14:paraId="66474AEB" w14:textId="77777777" w:rsidR="00833918" w:rsidRPr="005F2D88" w:rsidRDefault="00833918" w:rsidP="00833918">
            <w:pPr>
              <w:tabs>
                <w:tab w:val="left" w:pos="9000"/>
              </w:tabs>
              <w:jc w:val="right"/>
              <w:rPr>
                <w:rFonts w:asciiTheme="majorHAnsi" w:hAnsiTheme="majorHAnsi"/>
                <w:color w:val="000000"/>
                <w:sz w:val="24"/>
                <w:szCs w:val="24"/>
              </w:rPr>
            </w:pPr>
            <w:r w:rsidRPr="005F2D88">
              <w:rPr>
                <w:rFonts w:asciiTheme="majorHAnsi" w:hAnsiTheme="majorHAnsi"/>
                <w:color w:val="000000"/>
                <w:sz w:val="24"/>
                <w:szCs w:val="24"/>
              </w:rPr>
              <w:t>87.6</w:t>
            </w:r>
          </w:p>
        </w:tc>
        <w:tc>
          <w:tcPr>
            <w:tcW w:w="1080" w:type="dxa"/>
          </w:tcPr>
          <w:p w14:paraId="5811F54F" w14:textId="77777777" w:rsidR="00833918" w:rsidRPr="005F2D88" w:rsidRDefault="00833918" w:rsidP="00833918">
            <w:pPr>
              <w:tabs>
                <w:tab w:val="left" w:pos="9000"/>
              </w:tabs>
              <w:jc w:val="right"/>
              <w:rPr>
                <w:rFonts w:asciiTheme="majorHAnsi" w:hAnsiTheme="majorHAnsi"/>
                <w:color w:val="000000"/>
                <w:sz w:val="24"/>
                <w:szCs w:val="24"/>
              </w:rPr>
            </w:pPr>
            <w:r w:rsidRPr="005F2D88">
              <w:rPr>
                <w:rFonts w:asciiTheme="majorHAnsi" w:hAnsiTheme="majorHAnsi"/>
                <w:color w:val="000000"/>
                <w:sz w:val="24"/>
                <w:szCs w:val="24"/>
              </w:rPr>
              <w:t>84.8</w:t>
            </w:r>
          </w:p>
        </w:tc>
        <w:tc>
          <w:tcPr>
            <w:tcW w:w="1080" w:type="dxa"/>
          </w:tcPr>
          <w:p w14:paraId="43FCACAB" w14:textId="77777777" w:rsidR="00833918" w:rsidRPr="005F2D88" w:rsidRDefault="00833918" w:rsidP="00833918">
            <w:pPr>
              <w:tabs>
                <w:tab w:val="left" w:pos="9000"/>
              </w:tabs>
              <w:jc w:val="center"/>
              <w:rPr>
                <w:rFonts w:asciiTheme="majorHAnsi" w:hAnsiTheme="majorHAnsi"/>
                <w:color w:val="008000"/>
                <w:sz w:val="24"/>
                <w:szCs w:val="24"/>
              </w:rPr>
            </w:pPr>
            <w:r w:rsidRPr="005F2D88">
              <w:rPr>
                <w:rFonts w:asciiTheme="majorHAnsi" w:hAnsiTheme="majorHAnsi"/>
                <w:color w:val="008000"/>
                <w:sz w:val="24"/>
                <w:szCs w:val="24"/>
              </w:rPr>
              <w:t>-40.6</w:t>
            </w:r>
          </w:p>
        </w:tc>
        <w:tc>
          <w:tcPr>
            <w:tcW w:w="1080" w:type="dxa"/>
          </w:tcPr>
          <w:p w14:paraId="4F78F536" w14:textId="77777777" w:rsidR="00833918" w:rsidRPr="005F2D88" w:rsidRDefault="00833918" w:rsidP="00833918">
            <w:pPr>
              <w:tabs>
                <w:tab w:val="left" w:pos="9000"/>
              </w:tabs>
              <w:jc w:val="center"/>
              <w:rPr>
                <w:rFonts w:asciiTheme="majorHAnsi" w:hAnsiTheme="majorHAnsi"/>
                <w:color w:val="008000"/>
                <w:sz w:val="24"/>
                <w:szCs w:val="24"/>
              </w:rPr>
            </w:pPr>
            <w:r w:rsidRPr="005F2D88">
              <w:rPr>
                <w:rFonts w:asciiTheme="majorHAnsi" w:hAnsiTheme="majorHAnsi"/>
                <w:color w:val="008000"/>
                <w:sz w:val="24"/>
                <w:szCs w:val="24"/>
              </w:rPr>
              <w:t>-2.8</w:t>
            </w:r>
          </w:p>
        </w:tc>
        <w:tc>
          <w:tcPr>
            <w:tcW w:w="1142" w:type="dxa"/>
            <w:noWrap/>
            <w:hideMark/>
          </w:tcPr>
          <w:p w14:paraId="6E63F154" w14:textId="77777777" w:rsidR="00833918" w:rsidRPr="005F2D88" w:rsidRDefault="00833918" w:rsidP="00833918">
            <w:pPr>
              <w:tabs>
                <w:tab w:val="left" w:pos="9000"/>
              </w:tabs>
              <w:jc w:val="center"/>
              <w:rPr>
                <w:rFonts w:asciiTheme="majorHAnsi" w:hAnsiTheme="majorHAnsi"/>
                <w:color w:val="008000"/>
                <w:sz w:val="24"/>
                <w:szCs w:val="24"/>
              </w:rPr>
            </w:pPr>
            <w:r w:rsidRPr="005F2D88">
              <w:rPr>
                <w:rFonts w:asciiTheme="majorHAnsi" w:hAnsiTheme="majorHAnsi"/>
                <w:color w:val="008000"/>
                <w:sz w:val="24"/>
                <w:szCs w:val="24"/>
              </w:rPr>
              <w:t>-3.3</w:t>
            </w:r>
          </w:p>
        </w:tc>
      </w:tr>
      <w:tr w:rsidR="00833918" w:rsidRPr="005F2D88" w14:paraId="5C1DA8C7" w14:textId="77777777" w:rsidTr="00833918">
        <w:trPr>
          <w:trHeight w:val="377"/>
        </w:trPr>
        <w:tc>
          <w:tcPr>
            <w:tcW w:w="1474" w:type="dxa"/>
            <w:noWrap/>
            <w:vAlign w:val="center"/>
            <w:hideMark/>
          </w:tcPr>
          <w:p w14:paraId="04791775" w14:textId="77777777" w:rsidR="00833918" w:rsidRPr="005F2D88" w:rsidRDefault="00833918" w:rsidP="00833918">
            <w:pPr>
              <w:tabs>
                <w:tab w:val="left" w:pos="9000"/>
              </w:tabs>
              <w:jc w:val="right"/>
              <w:rPr>
                <w:rFonts w:asciiTheme="majorHAnsi" w:hAnsiTheme="majorHAnsi"/>
                <w:color w:val="000000"/>
              </w:rPr>
            </w:pPr>
            <w:r w:rsidRPr="005F2D88">
              <w:rPr>
                <w:rFonts w:asciiTheme="majorHAnsi" w:hAnsiTheme="majorHAnsi"/>
                <w:color w:val="000000"/>
              </w:rPr>
              <w:t>Fire Dept. Fuel</w:t>
            </w:r>
          </w:p>
        </w:tc>
        <w:tc>
          <w:tcPr>
            <w:tcW w:w="1080" w:type="dxa"/>
            <w:noWrap/>
            <w:hideMark/>
          </w:tcPr>
          <w:p w14:paraId="34858CB7" w14:textId="77777777" w:rsidR="00833918" w:rsidRPr="005F2D88" w:rsidRDefault="00833918" w:rsidP="00833918">
            <w:pPr>
              <w:tabs>
                <w:tab w:val="left" w:pos="9000"/>
              </w:tabs>
              <w:jc w:val="right"/>
              <w:rPr>
                <w:rFonts w:asciiTheme="majorHAnsi" w:hAnsiTheme="majorHAnsi"/>
                <w:color w:val="000000"/>
                <w:sz w:val="24"/>
                <w:szCs w:val="24"/>
              </w:rPr>
            </w:pPr>
            <w:r w:rsidRPr="005F2D88">
              <w:rPr>
                <w:rFonts w:asciiTheme="majorHAnsi" w:hAnsiTheme="majorHAnsi"/>
                <w:color w:val="000000"/>
                <w:sz w:val="24"/>
                <w:szCs w:val="24"/>
              </w:rPr>
              <w:t>79.0</w:t>
            </w:r>
          </w:p>
        </w:tc>
        <w:tc>
          <w:tcPr>
            <w:tcW w:w="1080" w:type="dxa"/>
            <w:noWrap/>
            <w:hideMark/>
          </w:tcPr>
          <w:p w14:paraId="02741E94" w14:textId="77777777" w:rsidR="00833918" w:rsidRPr="005F2D88" w:rsidRDefault="00833918" w:rsidP="00833918">
            <w:pPr>
              <w:tabs>
                <w:tab w:val="left" w:pos="9000"/>
              </w:tabs>
              <w:jc w:val="right"/>
              <w:rPr>
                <w:rFonts w:asciiTheme="majorHAnsi" w:hAnsiTheme="majorHAnsi"/>
                <w:color w:val="000000"/>
                <w:sz w:val="24"/>
                <w:szCs w:val="24"/>
              </w:rPr>
            </w:pPr>
            <w:r w:rsidRPr="005F2D88">
              <w:rPr>
                <w:rFonts w:asciiTheme="majorHAnsi" w:hAnsiTheme="majorHAnsi"/>
                <w:color w:val="000000"/>
                <w:sz w:val="24"/>
                <w:szCs w:val="24"/>
              </w:rPr>
              <w:t>91.5</w:t>
            </w:r>
          </w:p>
        </w:tc>
        <w:tc>
          <w:tcPr>
            <w:tcW w:w="1080" w:type="dxa"/>
          </w:tcPr>
          <w:p w14:paraId="3BC5BBEE" w14:textId="77777777" w:rsidR="00833918" w:rsidRPr="005F2D88" w:rsidRDefault="00833918" w:rsidP="00833918">
            <w:pPr>
              <w:tabs>
                <w:tab w:val="left" w:pos="9000"/>
              </w:tabs>
              <w:jc w:val="right"/>
              <w:rPr>
                <w:rFonts w:asciiTheme="majorHAnsi" w:hAnsiTheme="majorHAnsi"/>
                <w:color w:val="000000"/>
                <w:sz w:val="24"/>
                <w:szCs w:val="24"/>
              </w:rPr>
            </w:pPr>
            <w:r w:rsidRPr="005F2D88">
              <w:rPr>
                <w:rFonts w:asciiTheme="majorHAnsi" w:hAnsiTheme="majorHAnsi"/>
                <w:color w:val="000000"/>
                <w:sz w:val="24"/>
                <w:szCs w:val="24"/>
              </w:rPr>
              <w:t>84.7</w:t>
            </w:r>
          </w:p>
        </w:tc>
        <w:tc>
          <w:tcPr>
            <w:tcW w:w="1080" w:type="dxa"/>
          </w:tcPr>
          <w:p w14:paraId="2BC75ABA" w14:textId="77777777" w:rsidR="00833918" w:rsidRPr="005F2D88" w:rsidRDefault="00833918" w:rsidP="00833918">
            <w:pPr>
              <w:tabs>
                <w:tab w:val="left" w:pos="9000"/>
              </w:tabs>
              <w:jc w:val="right"/>
              <w:rPr>
                <w:rFonts w:asciiTheme="majorHAnsi" w:hAnsiTheme="majorHAnsi"/>
                <w:color w:val="000000"/>
                <w:sz w:val="24"/>
                <w:szCs w:val="24"/>
              </w:rPr>
            </w:pPr>
            <w:r w:rsidRPr="005F2D88">
              <w:rPr>
                <w:rFonts w:asciiTheme="majorHAnsi" w:hAnsiTheme="majorHAnsi"/>
                <w:color w:val="000000"/>
                <w:sz w:val="24"/>
                <w:szCs w:val="24"/>
              </w:rPr>
              <w:t>80.5</w:t>
            </w:r>
          </w:p>
        </w:tc>
        <w:tc>
          <w:tcPr>
            <w:tcW w:w="1080" w:type="dxa"/>
          </w:tcPr>
          <w:p w14:paraId="19F06412" w14:textId="77777777" w:rsidR="00833918" w:rsidRPr="005F2D88" w:rsidRDefault="00833918" w:rsidP="00833918">
            <w:pPr>
              <w:tabs>
                <w:tab w:val="left" w:pos="9000"/>
              </w:tabs>
              <w:jc w:val="center"/>
              <w:rPr>
                <w:rFonts w:asciiTheme="majorHAnsi" w:hAnsiTheme="majorHAnsi"/>
                <w:color w:val="FF6600"/>
                <w:sz w:val="24"/>
                <w:szCs w:val="24"/>
              </w:rPr>
            </w:pPr>
            <w:r w:rsidRPr="00A03B8D">
              <w:rPr>
                <w:rFonts w:asciiTheme="majorHAnsi" w:hAnsiTheme="majorHAnsi"/>
                <w:color w:val="FF0000"/>
                <w:sz w:val="24"/>
                <w:szCs w:val="24"/>
              </w:rPr>
              <w:t>1.5</w:t>
            </w:r>
          </w:p>
        </w:tc>
        <w:tc>
          <w:tcPr>
            <w:tcW w:w="1080" w:type="dxa"/>
          </w:tcPr>
          <w:p w14:paraId="363BB97E" w14:textId="77777777" w:rsidR="00833918" w:rsidRPr="005F2D88" w:rsidRDefault="00833918" w:rsidP="00833918">
            <w:pPr>
              <w:tabs>
                <w:tab w:val="left" w:pos="9000"/>
              </w:tabs>
              <w:jc w:val="center"/>
              <w:rPr>
                <w:rFonts w:asciiTheme="majorHAnsi" w:hAnsiTheme="majorHAnsi"/>
                <w:b/>
                <w:bCs/>
                <w:i/>
                <w:iCs/>
                <w:color w:val="008000"/>
                <w:sz w:val="24"/>
                <w:szCs w:val="24"/>
              </w:rPr>
            </w:pPr>
            <w:r w:rsidRPr="005F2D88">
              <w:rPr>
                <w:rFonts w:asciiTheme="majorHAnsi" w:hAnsiTheme="majorHAnsi"/>
                <w:color w:val="008000"/>
                <w:sz w:val="24"/>
                <w:szCs w:val="24"/>
              </w:rPr>
              <w:t>-4.2</w:t>
            </w:r>
          </w:p>
        </w:tc>
        <w:tc>
          <w:tcPr>
            <w:tcW w:w="1142" w:type="dxa"/>
            <w:noWrap/>
            <w:hideMark/>
          </w:tcPr>
          <w:p w14:paraId="2C47DE08" w14:textId="77777777" w:rsidR="00833918" w:rsidRPr="005F2D88" w:rsidRDefault="00833918" w:rsidP="00833918">
            <w:pPr>
              <w:tabs>
                <w:tab w:val="left" w:pos="9000"/>
              </w:tabs>
              <w:jc w:val="center"/>
              <w:rPr>
                <w:rFonts w:asciiTheme="majorHAnsi" w:hAnsiTheme="majorHAnsi"/>
                <w:b/>
                <w:bCs/>
                <w:i/>
                <w:iCs/>
                <w:color w:val="008000"/>
                <w:sz w:val="24"/>
                <w:szCs w:val="24"/>
              </w:rPr>
            </w:pPr>
            <w:r w:rsidRPr="005F2D88">
              <w:rPr>
                <w:rFonts w:asciiTheme="majorHAnsi" w:hAnsiTheme="majorHAnsi"/>
                <w:color w:val="008000"/>
                <w:sz w:val="24"/>
                <w:szCs w:val="24"/>
              </w:rPr>
              <w:t>-5.2</w:t>
            </w:r>
          </w:p>
        </w:tc>
      </w:tr>
      <w:tr w:rsidR="00833918" w:rsidRPr="005F2D88" w14:paraId="715018E8" w14:textId="77777777" w:rsidTr="00833918">
        <w:trPr>
          <w:trHeight w:val="300"/>
        </w:trPr>
        <w:tc>
          <w:tcPr>
            <w:tcW w:w="1474" w:type="dxa"/>
            <w:noWrap/>
            <w:vAlign w:val="center"/>
            <w:hideMark/>
          </w:tcPr>
          <w:p w14:paraId="78E0CC41" w14:textId="77777777" w:rsidR="00833918" w:rsidRPr="005F2D88" w:rsidRDefault="00833918" w:rsidP="00833918">
            <w:pPr>
              <w:tabs>
                <w:tab w:val="left" w:pos="9000"/>
              </w:tabs>
              <w:jc w:val="right"/>
              <w:rPr>
                <w:rFonts w:asciiTheme="majorHAnsi" w:hAnsiTheme="majorHAnsi"/>
                <w:color w:val="000000"/>
              </w:rPr>
            </w:pPr>
            <w:r w:rsidRPr="005F2D88">
              <w:rPr>
                <w:rFonts w:asciiTheme="majorHAnsi" w:hAnsiTheme="majorHAnsi"/>
                <w:color w:val="000000"/>
              </w:rPr>
              <w:t>Other Lighting</w:t>
            </w:r>
          </w:p>
        </w:tc>
        <w:tc>
          <w:tcPr>
            <w:tcW w:w="1080" w:type="dxa"/>
            <w:noWrap/>
            <w:hideMark/>
          </w:tcPr>
          <w:p w14:paraId="6308E461" w14:textId="77777777" w:rsidR="00833918" w:rsidRPr="005F2D88" w:rsidRDefault="00833918" w:rsidP="00833918">
            <w:pPr>
              <w:tabs>
                <w:tab w:val="left" w:pos="9000"/>
              </w:tabs>
              <w:jc w:val="right"/>
              <w:rPr>
                <w:rFonts w:asciiTheme="majorHAnsi" w:hAnsiTheme="majorHAnsi"/>
                <w:color w:val="000000"/>
                <w:sz w:val="24"/>
                <w:szCs w:val="24"/>
              </w:rPr>
            </w:pPr>
            <w:r w:rsidRPr="005F2D88">
              <w:rPr>
                <w:rFonts w:asciiTheme="majorHAnsi" w:hAnsiTheme="majorHAnsi"/>
                <w:color w:val="000000"/>
                <w:sz w:val="24"/>
                <w:szCs w:val="24"/>
              </w:rPr>
              <w:t>72.8</w:t>
            </w:r>
          </w:p>
        </w:tc>
        <w:tc>
          <w:tcPr>
            <w:tcW w:w="1080" w:type="dxa"/>
            <w:noWrap/>
            <w:hideMark/>
          </w:tcPr>
          <w:p w14:paraId="672E465C" w14:textId="77777777" w:rsidR="00833918" w:rsidRPr="005F2D88" w:rsidRDefault="00833918" w:rsidP="00833918">
            <w:pPr>
              <w:tabs>
                <w:tab w:val="left" w:pos="9000"/>
              </w:tabs>
              <w:jc w:val="right"/>
              <w:rPr>
                <w:rFonts w:asciiTheme="majorHAnsi" w:hAnsiTheme="majorHAnsi"/>
                <w:color w:val="000000"/>
                <w:sz w:val="24"/>
                <w:szCs w:val="24"/>
              </w:rPr>
            </w:pPr>
            <w:r w:rsidRPr="005F2D88">
              <w:rPr>
                <w:rFonts w:asciiTheme="majorHAnsi" w:hAnsiTheme="majorHAnsi"/>
                <w:color w:val="000000"/>
                <w:sz w:val="24"/>
                <w:szCs w:val="24"/>
              </w:rPr>
              <w:t>59.0</w:t>
            </w:r>
          </w:p>
        </w:tc>
        <w:tc>
          <w:tcPr>
            <w:tcW w:w="1080" w:type="dxa"/>
          </w:tcPr>
          <w:p w14:paraId="754E318D" w14:textId="77777777" w:rsidR="00833918" w:rsidRPr="005F2D88" w:rsidRDefault="00833918" w:rsidP="00833918">
            <w:pPr>
              <w:tabs>
                <w:tab w:val="left" w:pos="9000"/>
              </w:tabs>
              <w:jc w:val="right"/>
              <w:rPr>
                <w:rFonts w:asciiTheme="majorHAnsi" w:hAnsiTheme="majorHAnsi"/>
                <w:color w:val="000000"/>
                <w:sz w:val="24"/>
                <w:szCs w:val="24"/>
              </w:rPr>
            </w:pPr>
            <w:r w:rsidRPr="005F2D88">
              <w:rPr>
                <w:rFonts w:asciiTheme="majorHAnsi" w:hAnsiTheme="majorHAnsi"/>
                <w:color w:val="000000"/>
                <w:sz w:val="24"/>
                <w:szCs w:val="24"/>
              </w:rPr>
              <w:t>60.7</w:t>
            </w:r>
          </w:p>
        </w:tc>
        <w:tc>
          <w:tcPr>
            <w:tcW w:w="1080" w:type="dxa"/>
          </w:tcPr>
          <w:p w14:paraId="53CFF145" w14:textId="77777777" w:rsidR="00833918" w:rsidRPr="005F2D88" w:rsidRDefault="00833918" w:rsidP="00833918">
            <w:pPr>
              <w:tabs>
                <w:tab w:val="left" w:pos="9000"/>
              </w:tabs>
              <w:jc w:val="right"/>
              <w:rPr>
                <w:rFonts w:asciiTheme="majorHAnsi" w:hAnsiTheme="majorHAnsi"/>
                <w:color w:val="000000"/>
                <w:sz w:val="24"/>
                <w:szCs w:val="24"/>
              </w:rPr>
            </w:pPr>
            <w:r w:rsidRPr="005F2D88">
              <w:rPr>
                <w:rFonts w:asciiTheme="majorHAnsi" w:hAnsiTheme="majorHAnsi"/>
                <w:color w:val="000000"/>
                <w:sz w:val="24"/>
                <w:szCs w:val="24"/>
              </w:rPr>
              <w:t>64.3</w:t>
            </w:r>
          </w:p>
        </w:tc>
        <w:tc>
          <w:tcPr>
            <w:tcW w:w="1080" w:type="dxa"/>
          </w:tcPr>
          <w:p w14:paraId="6B67D86D" w14:textId="77777777" w:rsidR="00833918" w:rsidRPr="00A03B8D" w:rsidRDefault="00833918" w:rsidP="00833918">
            <w:pPr>
              <w:tabs>
                <w:tab w:val="left" w:pos="9000"/>
              </w:tabs>
              <w:jc w:val="center"/>
              <w:rPr>
                <w:rFonts w:asciiTheme="majorHAnsi" w:hAnsiTheme="majorHAnsi"/>
                <w:b/>
                <w:bCs/>
                <w:i/>
                <w:iCs/>
                <w:color w:val="008000"/>
                <w:sz w:val="24"/>
                <w:szCs w:val="24"/>
              </w:rPr>
            </w:pPr>
            <w:r w:rsidRPr="00A03B8D">
              <w:rPr>
                <w:rFonts w:asciiTheme="majorHAnsi" w:hAnsiTheme="majorHAnsi"/>
                <w:color w:val="008000"/>
                <w:sz w:val="24"/>
                <w:szCs w:val="24"/>
              </w:rPr>
              <w:t>-8.5</w:t>
            </w:r>
          </w:p>
        </w:tc>
        <w:tc>
          <w:tcPr>
            <w:tcW w:w="1080" w:type="dxa"/>
          </w:tcPr>
          <w:p w14:paraId="09E6D12D" w14:textId="77777777" w:rsidR="00833918" w:rsidRPr="005F2D88" w:rsidRDefault="00833918" w:rsidP="00833918">
            <w:pPr>
              <w:tabs>
                <w:tab w:val="left" w:pos="9000"/>
              </w:tabs>
              <w:jc w:val="center"/>
              <w:rPr>
                <w:rFonts w:asciiTheme="majorHAnsi" w:hAnsiTheme="majorHAnsi"/>
                <w:b/>
                <w:bCs/>
                <w:i/>
                <w:iCs/>
                <w:color w:val="FF0000"/>
                <w:sz w:val="24"/>
                <w:szCs w:val="24"/>
              </w:rPr>
            </w:pPr>
            <w:r w:rsidRPr="005F2D88">
              <w:rPr>
                <w:rFonts w:asciiTheme="majorHAnsi" w:hAnsiTheme="majorHAnsi"/>
                <w:color w:val="FF0000"/>
                <w:sz w:val="24"/>
                <w:szCs w:val="24"/>
              </w:rPr>
              <w:t>3.6</w:t>
            </w:r>
          </w:p>
        </w:tc>
        <w:tc>
          <w:tcPr>
            <w:tcW w:w="1142" w:type="dxa"/>
            <w:noWrap/>
            <w:hideMark/>
          </w:tcPr>
          <w:p w14:paraId="76F35D52" w14:textId="77777777" w:rsidR="00833918" w:rsidRPr="005F2D88" w:rsidRDefault="00833918" w:rsidP="00833918">
            <w:pPr>
              <w:tabs>
                <w:tab w:val="left" w:pos="9000"/>
              </w:tabs>
              <w:jc w:val="center"/>
              <w:rPr>
                <w:rFonts w:asciiTheme="majorHAnsi" w:hAnsiTheme="majorHAnsi"/>
                <w:b/>
                <w:bCs/>
                <w:i/>
                <w:iCs/>
                <w:color w:val="FF0000"/>
                <w:sz w:val="24"/>
                <w:szCs w:val="24"/>
              </w:rPr>
            </w:pPr>
            <w:r w:rsidRPr="005F2D88">
              <w:rPr>
                <w:rFonts w:asciiTheme="majorHAnsi" w:hAnsiTheme="majorHAnsi"/>
                <w:color w:val="FF0000"/>
                <w:sz w:val="24"/>
                <w:szCs w:val="24"/>
              </w:rPr>
              <w:t>5.6</w:t>
            </w:r>
          </w:p>
        </w:tc>
      </w:tr>
      <w:tr w:rsidR="00833918" w:rsidRPr="005F2D88" w14:paraId="3785FCDA" w14:textId="77777777" w:rsidTr="00833918">
        <w:trPr>
          <w:trHeight w:val="300"/>
        </w:trPr>
        <w:tc>
          <w:tcPr>
            <w:tcW w:w="1474" w:type="dxa"/>
            <w:noWrap/>
            <w:vAlign w:val="center"/>
            <w:hideMark/>
          </w:tcPr>
          <w:p w14:paraId="28D881E1" w14:textId="77777777" w:rsidR="00833918" w:rsidRPr="005F2D88" w:rsidRDefault="00833918" w:rsidP="00833918">
            <w:pPr>
              <w:tabs>
                <w:tab w:val="left" w:pos="9000"/>
              </w:tabs>
              <w:jc w:val="right"/>
              <w:rPr>
                <w:rFonts w:asciiTheme="majorHAnsi" w:hAnsiTheme="majorHAnsi"/>
                <w:color w:val="000000"/>
              </w:rPr>
            </w:pPr>
            <w:r w:rsidRPr="005F2D88">
              <w:rPr>
                <w:rFonts w:asciiTheme="majorHAnsi" w:hAnsiTheme="majorHAnsi"/>
                <w:color w:val="000000"/>
              </w:rPr>
              <w:t>Town Hall</w:t>
            </w:r>
          </w:p>
        </w:tc>
        <w:tc>
          <w:tcPr>
            <w:tcW w:w="1080" w:type="dxa"/>
            <w:noWrap/>
            <w:hideMark/>
          </w:tcPr>
          <w:p w14:paraId="14FB697C" w14:textId="77777777" w:rsidR="00833918" w:rsidRPr="005F2D88" w:rsidRDefault="00833918" w:rsidP="00833918">
            <w:pPr>
              <w:tabs>
                <w:tab w:val="left" w:pos="9000"/>
              </w:tabs>
              <w:jc w:val="right"/>
              <w:rPr>
                <w:rFonts w:asciiTheme="majorHAnsi" w:hAnsiTheme="majorHAnsi"/>
                <w:color w:val="000000"/>
                <w:sz w:val="24"/>
                <w:szCs w:val="24"/>
              </w:rPr>
            </w:pPr>
            <w:r w:rsidRPr="005F2D88">
              <w:rPr>
                <w:rFonts w:asciiTheme="majorHAnsi" w:hAnsiTheme="majorHAnsi"/>
                <w:color w:val="000000"/>
                <w:sz w:val="24"/>
                <w:szCs w:val="24"/>
              </w:rPr>
              <w:t>71.7</w:t>
            </w:r>
          </w:p>
        </w:tc>
        <w:tc>
          <w:tcPr>
            <w:tcW w:w="1080" w:type="dxa"/>
            <w:noWrap/>
            <w:hideMark/>
          </w:tcPr>
          <w:p w14:paraId="0C0A7E3C" w14:textId="77777777" w:rsidR="00833918" w:rsidRPr="005F2D88" w:rsidRDefault="00833918" w:rsidP="00833918">
            <w:pPr>
              <w:tabs>
                <w:tab w:val="left" w:pos="9000"/>
              </w:tabs>
              <w:jc w:val="right"/>
              <w:rPr>
                <w:rFonts w:asciiTheme="majorHAnsi" w:hAnsiTheme="majorHAnsi"/>
                <w:color w:val="000000"/>
                <w:sz w:val="24"/>
                <w:szCs w:val="24"/>
              </w:rPr>
            </w:pPr>
            <w:r w:rsidRPr="005F2D88">
              <w:rPr>
                <w:rFonts w:asciiTheme="majorHAnsi" w:hAnsiTheme="majorHAnsi"/>
                <w:color w:val="000000"/>
                <w:sz w:val="24"/>
                <w:szCs w:val="24"/>
              </w:rPr>
              <w:t>60.0</w:t>
            </w:r>
          </w:p>
        </w:tc>
        <w:tc>
          <w:tcPr>
            <w:tcW w:w="1080" w:type="dxa"/>
          </w:tcPr>
          <w:p w14:paraId="09998284" w14:textId="77777777" w:rsidR="00833918" w:rsidRPr="005F2D88" w:rsidRDefault="00833918" w:rsidP="00833918">
            <w:pPr>
              <w:tabs>
                <w:tab w:val="left" w:pos="9000"/>
              </w:tabs>
              <w:jc w:val="right"/>
              <w:rPr>
                <w:rFonts w:asciiTheme="majorHAnsi" w:hAnsiTheme="majorHAnsi"/>
                <w:color w:val="000000"/>
                <w:sz w:val="24"/>
                <w:szCs w:val="24"/>
              </w:rPr>
            </w:pPr>
            <w:r w:rsidRPr="005F2D88">
              <w:rPr>
                <w:rFonts w:asciiTheme="majorHAnsi" w:hAnsiTheme="majorHAnsi"/>
                <w:color w:val="000000"/>
                <w:sz w:val="24"/>
                <w:szCs w:val="24"/>
              </w:rPr>
              <w:t>60.1</w:t>
            </w:r>
          </w:p>
        </w:tc>
        <w:tc>
          <w:tcPr>
            <w:tcW w:w="1080" w:type="dxa"/>
          </w:tcPr>
          <w:p w14:paraId="6130B6B3" w14:textId="77777777" w:rsidR="00833918" w:rsidRPr="005F2D88" w:rsidRDefault="00833918" w:rsidP="00833918">
            <w:pPr>
              <w:tabs>
                <w:tab w:val="left" w:pos="9000"/>
              </w:tabs>
              <w:jc w:val="right"/>
              <w:rPr>
                <w:rFonts w:asciiTheme="majorHAnsi" w:hAnsiTheme="majorHAnsi"/>
                <w:color w:val="000000"/>
                <w:sz w:val="24"/>
                <w:szCs w:val="24"/>
              </w:rPr>
            </w:pPr>
            <w:r w:rsidRPr="005F2D88">
              <w:rPr>
                <w:rFonts w:asciiTheme="majorHAnsi" w:hAnsiTheme="majorHAnsi"/>
                <w:color w:val="000000"/>
                <w:sz w:val="24"/>
                <w:szCs w:val="24"/>
              </w:rPr>
              <w:t>56.5</w:t>
            </w:r>
          </w:p>
        </w:tc>
        <w:tc>
          <w:tcPr>
            <w:tcW w:w="1080" w:type="dxa"/>
          </w:tcPr>
          <w:p w14:paraId="24DDEC70" w14:textId="77777777" w:rsidR="00833918" w:rsidRPr="005F2D88" w:rsidRDefault="00833918" w:rsidP="00833918">
            <w:pPr>
              <w:tabs>
                <w:tab w:val="left" w:pos="9000"/>
              </w:tabs>
              <w:jc w:val="center"/>
              <w:rPr>
                <w:rFonts w:asciiTheme="majorHAnsi" w:hAnsiTheme="majorHAnsi"/>
                <w:b/>
                <w:bCs/>
                <w:i/>
                <w:iCs/>
                <w:color w:val="008000"/>
                <w:sz w:val="24"/>
                <w:szCs w:val="24"/>
              </w:rPr>
            </w:pPr>
            <w:r w:rsidRPr="005F2D88">
              <w:rPr>
                <w:rFonts w:asciiTheme="majorHAnsi" w:hAnsiTheme="majorHAnsi"/>
                <w:color w:val="008000"/>
                <w:sz w:val="24"/>
                <w:szCs w:val="24"/>
              </w:rPr>
              <w:t>-15.2</w:t>
            </w:r>
          </w:p>
        </w:tc>
        <w:tc>
          <w:tcPr>
            <w:tcW w:w="1080" w:type="dxa"/>
          </w:tcPr>
          <w:p w14:paraId="70C43E61" w14:textId="77777777" w:rsidR="00833918" w:rsidRPr="005F2D88" w:rsidRDefault="00833918" w:rsidP="00833918">
            <w:pPr>
              <w:tabs>
                <w:tab w:val="left" w:pos="9000"/>
              </w:tabs>
              <w:jc w:val="center"/>
              <w:rPr>
                <w:rFonts w:asciiTheme="majorHAnsi" w:hAnsiTheme="majorHAnsi"/>
                <w:b/>
                <w:bCs/>
                <w:i/>
                <w:iCs/>
                <w:color w:val="008000"/>
                <w:sz w:val="24"/>
                <w:szCs w:val="24"/>
              </w:rPr>
            </w:pPr>
            <w:r w:rsidRPr="005F2D88">
              <w:rPr>
                <w:rFonts w:asciiTheme="majorHAnsi" w:hAnsiTheme="majorHAnsi"/>
                <w:color w:val="008000"/>
                <w:sz w:val="24"/>
                <w:szCs w:val="24"/>
              </w:rPr>
              <w:t>-3.6</w:t>
            </w:r>
          </w:p>
        </w:tc>
        <w:tc>
          <w:tcPr>
            <w:tcW w:w="1142" w:type="dxa"/>
            <w:noWrap/>
            <w:hideMark/>
          </w:tcPr>
          <w:p w14:paraId="339A0A32" w14:textId="77777777" w:rsidR="00833918" w:rsidRPr="005F2D88" w:rsidRDefault="00833918" w:rsidP="00833918">
            <w:pPr>
              <w:tabs>
                <w:tab w:val="left" w:pos="9000"/>
              </w:tabs>
              <w:jc w:val="center"/>
              <w:rPr>
                <w:rFonts w:asciiTheme="majorHAnsi" w:hAnsiTheme="majorHAnsi"/>
                <w:b/>
                <w:bCs/>
                <w:i/>
                <w:iCs/>
                <w:color w:val="008000"/>
                <w:sz w:val="24"/>
                <w:szCs w:val="24"/>
              </w:rPr>
            </w:pPr>
            <w:r w:rsidRPr="005F2D88">
              <w:rPr>
                <w:rFonts w:asciiTheme="majorHAnsi" w:hAnsiTheme="majorHAnsi"/>
                <w:color w:val="008000"/>
                <w:sz w:val="24"/>
                <w:szCs w:val="24"/>
              </w:rPr>
              <w:t>-6.4</w:t>
            </w:r>
          </w:p>
        </w:tc>
      </w:tr>
      <w:tr w:rsidR="00833918" w:rsidRPr="005F2D88" w14:paraId="2165593B" w14:textId="77777777" w:rsidTr="00833918">
        <w:trPr>
          <w:trHeight w:val="300"/>
        </w:trPr>
        <w:tc>
          <w:tcPr>
            <w:tcW w:w="1474" w:type="dxa"/>
            <w:noWrap/>
            <w:vAlign w:val="center"/>
            <w:hideMark/>
          </w:tcPr>
          <w:p w14:paraId="2A42051F" w14:textId="77777777" w:rsidR="00833918" w:rsidRPr="005F2D88" w:rsidRDefault="00833918" w:rsidP="00833918">
            <w:pPr>
              <w:tabs>
                <w:tab w:val="left" w:pos="9000"/>
              </w:tabs>
              <w:jc w:val="right"/>
              <w:rPr>
                <w:rFonts w:asciiTheme="majorHAnsi" w:hAnsiTheme="majorHAnsi"/>
                <w:color w:val="000000"/>
              </w:rPr>
            </w:pPr>
            <w:r w:rsidRPr="005F2D88">
              <w:rPr>
                <w:rFonts w:asciiTheme="majorHAnsi" w:hAnsiTheme="majorHAnsi"/>
                <w:color w:val="000000"/>
              </w:rPr>
              <w:t>Public Works</w:t>
            </w:r>
          </w:p>
        </w:tc>
        <w:tc>
          <w:tcPr>
            <w:tcW w:w="1080" w:type="dxa"/>
            <w:noWrap/>
            <w:hideMark/>
          </w:tcPr>
          <w:p w14:paraId="41CB4C81" w14:textId="77777777" w:rsidR="00833918" w:rsidRPr="005F2D88" w:rsidRDefault="00833918" w:rsidP="00833918">
            <w:pPr>
              <w:tabs>
                <w:tab w:val="left" w:pos="9000"/>
              </w:tabs>
              <w:jc w:val="right"/>
              <w:rPr>
                <w:rFonts w:asciiTheme="majorHAnsi" w:hAnsiTheme="majorHAnsi"/>
                <w:color w:val="000000"/>
                <w:sz w:val="24"/>
                <w:szCs w:val="24"/>
              </w:rPr>
            </w:pPr>
            <w:r w:rsidRPr="005F2D88">
              <w:rPr>
                <w:rFonts w:asciiTheme="majorHAnsi" w:hAnsiTheme="majorHAnsi"/>
                <w:color w:val="000000"/>
                <w:sz w:val="24"/>
                <w:szCs w:val="24"/>
              </w:rPr>
              <w:t>61.0</w:t>
            </w:r>
          </w:p>
        </w:tc>
        <w:tc>
          <w:tcPr>
            <w:tcW w:w="1080" w:type="dxa"/>
            <w:noWrap/>
            <w:hideMark/>
          </w:tcPr>
          <w:p w14:paraId="2F42CD53" w14:textId="77777777" w:rsidR="00833918" w:rsidRPr="005F2D88" w:rsidRDefault="00833918" w:rsidP="00833918">
            <w:pPr>
              <w:tabs>
                <w:tab w:val="left" w:pos="9000"/>
              </w:tabs>
              <w:jc w:val="right"/>
              <w:rPr>
                <w:rFonts w:asciiTheme="majorHAnsi" w:hAnsiTheme="majorHAnsi"/>
                <w:color w:val="000000"/>
                <w:sz w:val="24"/>
                <w:szCs w:val="24"/>
              </w:rPr>
            </w:pPr>
            <w:r w:rsidRPr="005F2D88">
              <w:rPr>
                <w:rFonts w:asciiTheme="majorHAnsi" w:hAnsiTheme="majorHAnsi"/>
                <w:color w:val="000000"/>
                <w:sz w:val="24"/>
                <w:szCs w:val="24"/>
              </w:rPr>
              <w:t>53.7</w:t>
            </w:r>
          </w:p>
        </w:tc>
        <w:tc>
          <w:tcPr>
            <w:tcW w:w="1080" w:type="dxa"/>
          </w:tcPr>
          <w:p w14:paraId="30CBC88A" w14:textId="77777777" w:rsidR="00833918" w:rsidRPr="005F2D88" w:rsidRDefault="00833918" w:rsidP="00833918">
            <w:pPr>
              <w:tabs>
                <w:tab w:val="left" w:pos="9000"/>
              </w:tabs>
              <w:jc w:val="right"/>
              <w:rPr>
                <w:rFonts w:asciiTheme="majorHAnsi" w:hAnsiTheme="majorHAnsi"/>
                <w:color w:val="000000"/>
                <w:sz w:val="24"/>
                <w:szCs w:val="24"/>
              </w:rPr>
            </w:pPr>
            <w:r w:rsidRPr="005F2D88">
              <w:rPr>
                <w:rFonts w:asciiTheme="majorHAnsi" w:hAnsiTheme="majorHAnsi"/>
                <w:color w:val="000000"/>
                <w:sz w:val="24"/>
                <w:szCs w:val="24"/>
              </w:rPr>
              <w:t>53.5</w:t>
            </w:r>
          </w:p>
        </w:tc>
        <w:tc>
          <w:tcPr>
            <w:tcW w:w="1080" w:type="dxa"/>
          </w:tcPr>
          <w:p w14:paraId="14D91261" w14:textId="77777777" w:rsidR="00833918" w:rsidRPr="005F2D88" w:rsidRDefault="00833918" w:rsidP="00833918">
            <w:pPr>
              <w:tabs>
                <w:tab w:val="left" w:pos="9000"/>
              </w:tabs>
              <w:jc w:val="right"/>
              <w:rPr>
                <w:rFonts w:asciiTheme="majorHAnsi" w:hAnsiTheme="majorHAnsi"/>
                <w:color w:val="000000"/>
                <w:sz w:val="24"/>
                <w:szCs w:val="24"/>
              </w:rPr>
            </w:pPr>
            <w:r w:rsidRPr="005F2D88">
              <w:rPr>
                <w:rFonts w:asciiTheme="majorHAnsi" w:hAnsiTheme="majorHAnsi"/>
                <w:color w:val="000000"/>
                <w:sz w:val="24"/>
                <w:szCs w:val="24"/>
              </w:rPr>
              <w:t>56.7</w:t>
            </w:r>
          </w:p>
        </w:tc>
        <w:tc>
          <w:tcPr>
            <w:tcW w:w="1080" w:type="dxa"/>
          </w:tcPr>
          <w:p w14:paraId="66A2C836" w14:textId="77777777" w:rsidR="00833918" w:rsidRPr="005F2D88" w:rsidRDefault="00833918" w:rsidP="00833918">
            <w:pPr>
              <w:tabs>
                <w:tab w:val="left" w:pos="9000"/>
              </w:tabs>
              <w:jc w:val="center"/>
              <w:rPr>
                <w:rFonts w:asciiTheme="majorHAnsi" w:hAnsiTheme="majorHAnsi"/>
                <w:b/>
                <w:bCs/>
                <w:i/>
                <w:iCs/>
                <w:color w:val="008000"/>
                <w:sz w:val="24"/>
                <w:szCs w:val="24"/>
              </w:rPr>
            </w:pPr>
            <w:r w:rsidRPr="005F2D88">
              <w:rPr>
                <w:rFonts w:asciiTheme="majorHAnsi" w:hAnsiTheme="majorHAnsi"/>
                <w:color w:val="008000"/>
                <w:sz w:val="24"/>
                <w:szCs w:val="24"/>
              </w:rPr>
              <w:t>-4.3</w:t>
            </w:r>
          </w:p>
        </w:tc>
        <w:tc>
          <w:tcPr>
            <w:tcW w:w="1080" w:type="dxa"/>
          </w:tcPr>
          <w:p w14:paraId="0DE7A992" w14:textId="77777777" w:rsidR="00833918" w:rsidRPr="005F2D88" w:rsidRDefault="00833918" w:rsidP="00833918">
            <w:pPr>
              <w:tabs>
                <w:tab w:val="left" w:pos="9000"/>
              </w:tabs>
              <w:jc w:val="center"/>
              <w:rPr>
                <w:rFonts w:asciiTheme="majorHAnsi" w:hAnsiTheme="majorHAnsi"/>
                <w:b/>
                <w:bCs/>
                <w:i/>
                <w:iCs/>
                <w:color w:val="FF0000"/>
                <w:sz w:val="24"/>
                <w:szCs w:val="24"/>
              </w:rPr>
            </w:pPr>
            <w:r w:rsidRPr="005F2D88">
              <w:rPr>
                <w:rFonts w:asciiTheme="majorHAnsi" w:hAnsiTheme="majorHAnsi"/>
                <w:color w:val="FF0000"/>
                <w:sz w:val="24"/>
                <w:szCs w:val="24"/>
              </w:rPr>
              <w:t>3.2</w:t>
            </w:r>
          </w:p>
        </w:tc>
        <w:tc>
          <w:tcPr>
            <w:tcW w:w="1142" w:type="dxa"/>
            <w:noWrap/>
            <w:hideMark/>
          </w:tcPr>
          <w:p w14:paraId="0B60F360" w14:textId="77777777" w:rsidR="00833918" w:rsidRPr="005F2D88" w:rsidRDefault="00833918" w:rsidP="00833918">
            <w:pPr>
              <w:tabs>
                <w:tab w:val="left" w:pos="9000"/>
              </w:tabs>
              <w:jc w:val="center"/>
              <w:rPr>
                <w:rFonts w:asciiTheme="majorHAnsi" w:hAnsiTheme="majorHAnsi"/>
                <w:b/>
                <w:bCs/>
                <w:i/>
                <w:iCs/>
                <w:color w:val="FF0000"/>
                <w:sz w:val="24"/>
                <w:szCs w:val="24"/>
              </w:rPr>
            </w:pPr>
            <w:r w:rsidRPr="005F2D88">
              <w:rPr>
                <w:rFonts w:asciiTheme="majorHAnsi" w:hAnsiTheme="majorHAnsi"/>
                <w:color w:val="FF0000"/>
                <w:sz w:val="24"/>
                <w:szCs w:val="24"/>
              </w:rPr>
              <w:t>5.6</w:t>
            </w:r>
          </w:p>
        </w:tc>
      </w:tr>
      <w:tr w:rsidR="00833918" w:rsidRPr="005F2D88" w14:paraId="64BC3F41" w14:textId="77777777" w:rsidTr="00833918">
        <w:trPr>
          <w:trHeight w:val="300"/>
        </w:trPr>
        <w:tc>
          <w:tcPr>
            <w:tcW w:w="1474" w:type="dxa"/>
            <w:noWrap/>
            <w:vAlign w:val="center"/>
            <w:hideMark/>
          </w:tcPr>
          <w:p w14:paraId="481CFE7B" w14:textId="77777777" w:rsidR="00833918" w:rsidRPr="005F2D88" w:rsidRDefault="00833918" w:rsidP="00833918">
            <w:pPr>
              <w:tabs>
                <w:tab w:val="left" w:pos="9000"/>
              </w:tabs>
              <w:jc w:val="right"/>
              <w:rPr>
                <w:rFonts w:asciiTheme="majorHAnsi" w:hAnsiTheme="majorHAnsi"/>
                <w:color w:val="000000"/>
              </w:rPr>
            </w:pPr>
            <w:r w:rsidRPr="005F2D88">
              <w:rPr>
                <w:rFonts w:asciiTheme="majorHAnsi" w:hAnsiTheme="majorHAnsi"/>
                <w:color w:val="000000"/>
              </w:rPr>
              <w:t>Fire Station #2</w:t>
            </w:r>
          </w:p>
        </w:tc>
        <w:tc>
          <w:tcPr>
            <w:tcW w:w="1080" w:type="dxa"/>
            <w:noWrap/>
            <w:hideMark/>
          </w:tcPr>
          <w:p w14:paraId="1B5B8A8E" w14:textId="77777777" w:rsidR="00833918" w:rsidRPr="005F2D88" w:rsidRDefault="00833918" w:rsidP="00833918">
            <w:pPr>
              <w:tabs>
                <w:tab w:val="left" w:pos="9000"/>
              </w:tabs>
              <w:jc w:val="right"/>
              <w:rPr>
                <w:rFonts w:asciiTheme="majorHAnsi" w:hAnsiTheme="majorHAnsi"/>
                <w:color w:val="000000"/>
                <w:sz w:val="24"/>
                <w:szCs w:val="24"/>
              </w:rPr>
            </w:pPr>
            <w:r w:rsidRPr="005F2D88">
              <w:rPr>
                <w:rFonts w:asciiTheme="majorHAnsi" w:hAnsiTheme="majorHAnsi"/>
                <w:color w:val="000000"/>
                <w:sz w:val="24"/>
                <w:szCs w:val="24"/>
              </w:rPr>
              <w:t>59.4</w:t>
            </w:r>
          </w:p>
        </w:tc>
        <w:tc>
          <w:tcPr>
            <w:tcW w:w="1080" w:type="dxa"/>
            <w:noWrap/>
            <w:hideMark/>
          </w:tcPr>
          <w:p w14:paraId="21DF2335" w14:textId="77777777" w:rsidR="00833918" w:rsidRPr="005F2D88" w:rsidRDefault="00833918" w:rsidP="00833918">
            <w:pPr>
              <w:tabs>
                <w:tab w:val="left" w:pos="9000"/>
              </w:tabs>
              <w:jc w:val="right"/>
              <w:rPr>
                <w:rFonts w:asciiTheme="majorHAnsi" w:hAnsiTheme="majorHAnsi"/>
                <w:color w:val="000000"/>
                <w:sz w:val="24"/>
                <w:szCs w:val="24"/>
              </w:rPr>
            </w:pPr>
            <w:r w:rsidRPr="005F2D88">
              <w:rPr>
                <w:rFonts w:asciiTheme="majorHAnsi" w:hAnsiTheme="majorHAnsi"/>
                <w:color w:val="000000"/>
                <w:sz w:val="24"/>
                <w:szCs w:val="24"/>
              </w:rPr>
              <w:t>57.2</w:t>
            </w:r>
          </w:p>
        </w:tc>
        <w:tc>
          <w:tcPr>
            <w:tcW w:w="1080" w:type="dxa"/>
          </w:tcPr>
          <w:p w14:paraId="085675E2" w14:textId="77777777" w:rsidR="00833918" w:rsidRPr="005F2D88" w:rsidRDefault="00833918" w:rsidP="00833918">
            <w:pPr>
              <w:tabs>
                <w:tab w:val="left" w:pos="9000"/>
              </w:tabs>
              <w:jc w:val="right"/>
              <w:rPr>
                <w:rFonts w:asciiTheme="majorHAnsi" w:hAnsiTheme="majorHAnsi"/>
                <w:color w:val="000000"/>
                <w:sz w:val="24"/>
                <w:szCs w:val="24"/>
              </w:rPr>
            </w:pPr>
            <w:r w:rsidRPr="005F2D88">
              <w:rPr>
                <w:rFonts w:asciiTheme="majorHAnsi" w:hAnsiTheme="majorHAnsi"/>
                <w:color w:val="000000"/>
                <w:sz w:val="24"/>
                <w:szCs w:val="24"/>
              </w:rPr>
              <w:t>54.7</w:t>
            </w:r>
          </w:p>
        </w:tc>
        <w:tc>
          <w:tcPr>
            <w:tcW w:w="1080" w:type="dxa"/>
          </w:tcPr>
          <w:p w14:paraId="77F51978" w14:textId="77777777" w:rsidR="00833918" w:rsidRPr="005F2D88" w:rsidRDefault="00833918" w:rsidP="00833918">
            <w:pPr>
              <w:tabs>
                <w:tab w:val="left" w:pos="9000"/>
              </w:tabs>
              <w:jc w:val="right"/>
              <w:rPr>
                <w:rFonts w:asciiTheme="majorHAnsi" w:hAnsiTheme="majorHAnsi"/>
                <w:color w:val="000000"/>
                <w:sz w:val="24"/>
                <w:szCs w:val="24"/>
              </w:rPr>
            </w:pPr>
            <w:r w:rsidRPr="005F2D88">
              <w:rPr>
                <w:rFonts w:asciiTheme="majorHAnsi" w:hAnsiTheme="majorHAnsi"/>
                <w:color w:val="000000"/>
                <w:sz w:val="24"/>
                <w:szCs w:val="24"/>
              </w:rPr>
              <w:t>58.5</w:t>
            </w:r>
          </w:p>
        </w:tc>
        <w:tc>
          <w:tcPr>
            <w:tcW w:w="1080" w:type="dxa"/>
          </w:tcPr>
          <w:p w14:paraId="10DEFD8B" w14:textId="77777777" w:rsidR="00833918" w:rsidRPr="005F2D88" w:rsidRDefault="00833918" w:rsidP="00833918">
            <w:pPr>
              <w:tabs>
                <w:tab w:val="left" w:pos="9000"/>
              </w:tabs>
              <w:jc w:val="center"/>
              <w:rPr>
                <w:rFonts w:asciiTheme="majorHAnsi" w:hAnsiTheme="majorHAnsi"/>
                <w:b/>
                <w:bCs/>
                <w:i/>
                <w:iCs/>
                <w:color w:val="008000"/>
                <w:sz w:val="24"/>
                <w:szCs w:val="24"/>
              </w:rPr>
            </w:pPr>
            <w:r w:rsidRPr="005F2D88">
              <w:rPr>
                <w:rFonts w:asciiTheme="majorHAnsi" w:hAnsiTheme="majorHAnsi"/>
                <w:color w:val="008000"/>
                <w:sz w:val="24"/>
                <w:szCs w:val="24"/>
              </w:rPr>
              <w:t>-0.9</w:t>
            </w:r>
          </w:p>
        </w:tc>
        <w:tc>
          <w:tcPr>
            <w:tcW w:w="1080" w:type="dxa"/>
          </w:tcPr>
          <w:p w14:paraId="55B1752B" w14:textId="77777777" w:rsidR="00833918" w:rsidRPr="005F2D88" w:rsidRDefault="00833918" w:rsidP="00833918">
            <w:pPr>
              <w:tabs>
                <w:tab w:val="left" w:pos="9000"/>
              </w:tabs>
              <w:jc w:val="center"/>
              <w:rPr>
                <w:rFonts w:asciiTheme="majorHAnsi" w:hAnsiTheme="majorHAnsi"/>
                <w:b/>
                <w:bCs/>
                <w:i/>
                <w:iCs/>
                <w:color w:val="FF0000"/>
                <w:sz w:val="24"/>
                <w:szCs w:val="24"/>
              </w:rPr>
            </w:pPr>
            <w:r w:rsidRPr="005F2D88">
              <w:rPr>
                <w:rFonts w:asciiTheme="majorHAnsi" w:hAnsiTheme="majorHAnsi"/>
                <w:color w:val="FF0000"/>
                <w:sz w:val="24"/>
                <w:szCs w:val="24"/>
              </w:rPr>
              <w:t>3.8</w:t>
            </w:r>
          </w:p>
        </w:tc>
        <w:tc>
          <w:tcPr>
            <w:tcW w:w="1142" w:type="dxa"/>
            <w:noWrap/>
            <w:hideMark/>
          </w:tcPr>
          <w:p w14:paraId="13E8CAE4" w14:textId="77777777" w:rsidR="00833918" w:rsidRPr="005F2D88" w:rsidRDefault="00833918" w:rsidP="00833918">
            <w:pPr>
              <w:tabs>
                <w:tab w:val="left" w:pos="9000"/>
              </w:tabs>
              <w:jc w:val="center"/>
              <w:rPr>
                <w:rFonts w:asciiTheme="majorHAnsi" w:hAnsiTheme="majorHAnsi"/>
                <w:b/>
                <w:bCs/>
                <w:i/>
                <w:iCs/>
                <w:color w:val="FF0000"/>
                <w:sz w:val="24"/>
                <w:szCs w:val="24"/>
              </w:rPr>
            </w:pPr>
            <w:r w:rsidRPr="005F2D88">
              <w:rPr>
                <w:rFonts w:asciiTheme="majorHAnsi" w:hAnsiTheme="majorHAnsi"/>
                <w:color w:val="FF0000"/>
                <w:sz w:val="24"/>
                <w:szCs w:val="24"/>
              </w:rPr>
              <w:t>6.5</w:t>
            </w:r>
          </w:p>
        </w:tc>
      </w:tr>
      <w:tr w:rsidR="00833918" w:rsidRPr="005F2D88" w14:paraId="785345FE" w14:textId="77777777" w:rsidTr="00833918">
        <w:trPr>
          <w:trHeight w:val="300"/>
        </w:trPr>
        <w:tc>
          <w:tcPr>
            <w:tcW w:w="1474" w:type="dxa"/>
            <w:noWrap/>
            <w:vAlign w:val="center"/>
            <w:hideMark/>
          </w:tcPr>
          <w:p w14:paraId="24D383D2" w14:textId="77777777" w:rsidR="00833918" w:rsidRPr="005F2D88" w:rsidRDefault="00833918" w:rsidP="00833918">
            <w:pPr>
              <w:tabs>
                <w:tab w:val="left" w:pos="9000"/>
              </w:tabs>
              <w:jc w:val="right"/>
              <w:rPr>
                <w:rFonts w:asciiTheme="majorHAnsi" w:hAnsiTheme="majorHAnsi"/>
                <w:color w:val="000000"/>
              </w:rPr>
            </w:pPr>
            <w:r w:rsidRPr="005F2D88">
              <w:rPr>
                <w:rFonts w:asciiTheme="majorHAnsi" w:hAnsiTheme="majorHAnsi"/>
                <w:color w:val="000000"/>
              </w:rPr>
              <w:t>Parks</w:t>
            </w:r>
          </w:p>
        </w:tc>
        <w:tc>
          <w:tcPr>
            <w:tcW w:w="1080" w:type="dxa"/>
            <w:noWrap/>
            <w:hideMark/>
          </w:tcPr>
          <w:p w14:paraId="6174D5A5" w14:textId="77777777" w:rsidR="00833918" w:rsidRPr="005F2D88" w:rsidRDefault="00833918" w:rsidP="00833918">
            <w:pPr>
              <w:tabs>
                <w:tab w:val="left" w:pos="9000"/>
              </w:tabs>
              <w:jc w:val="right"/>
              <w:rPr>
                <w:rFonts w:asciiTheme="majorHAnsi" w:hAnsiTheme="majorHAnsi"/>
                <w:color w:val="000000"/>
                <w:sz w:val="24"/>
                <w:szCs w:val="24"/>
              </w:rPr>
            </w:pPr>
            <w:r w:rsidRPr="005F2D88">
              <w:rPr>
                <w:rFonts w:asciiTheme="majorHAnsi" w:hAnsiTheme="majorHAnsi"/>
                <w:color w:val="000000"/>
                <w:sz w:val="24"/>
                <w:szCs w:val="24"/>
              </w:rPr>
              <w:t>42.3</w:t>
            </w:r>
          </w:p>
        </w:tc>
        <w:tc>
          <w:tcPr>
            <w:tcW w:w="1080" w:type="dxa"/>
            <w:noWrap/>
            <w:hideMark/>
          </w:tcPr>
          <w:p w14:paraId="5A350A49" w14:textId="77777777" w:rsidR="00833918" w:rsidRPr="005F2D88" w:rsidRDefault="00833918" w:rsidP="00833918">
            <w:pPr>
              <w:tabs>
                <w:tab w:val="left" w:pos="9000"/>
              </w:tabs>
              <w:jc w:val="right"/>
              <w:rPr>
                <w:rFonts w:asciiTheme="majorHAnsi" w:hAnsiTheme="majorHAnsi"/>
                <w:color w:val="000000"/>
                <w:sz w:val="24"/>
                <w:szCs w:val="24"/>
              </w:rPr>
            </w:pPr>
            <w:r w:rsidRPr="005F2D88">
              <w:rPr>
                <w:rFonts w:asciiTheme="majorHAnsi" w:hAnsiTheme="majorHAnsi"/>
                <w:color w:val="000000"/>
                <w:sz w:val="24"/>
                <w:szCs w:val="24"/>
              </w:rPr>
              <w:t>33.3</w:t>
            </w:r>
          </w:p>
        </w:tc>
        <w:tc>
          <w:tcPr>
            <w:tcW w:w="1080" w:type="dxa"/>
          </w:tcPr>
          <w:p w14:paraId="3FD86936" w14:textId="77777777" w:rsidR="00833918" w:rsidRPr="005F2D88" w:rsidRDefault="00833918" w:rsidP="00833918">
            <w:pPr>
              <w:tabs>
                <w:tab w:val="left" w:pos="9000"/>
              </w:tabs>
              <w:jc w:val="right"/>
              <w:rPr>
                <w:rFonts w:asciiTheme="majorHAnsi" w:hAnsiTheme="majorHAnsi"/>
                <w:color w:val="000000"/>
                <w:sz w:val="24"/>
                <w:szCs w:val="24"/>
              </w:rPr>
            </w:pPr>
            <w:r w:rsidRPr="005F2D88">
              <w:rPr>
                <w:rFonts w:asciiTheme="majorHAnsi" w:hAnsiTheme="majorHAnsi"/>
                <w:color w:val="000000"/>
                <w:sz w:val="24"/>
                <w:szCs w:val="24"/>
              </w:rPr>
              <w:t>36.5</w:t>
            </w:r>
          </w:p>
        </w:tc>
        <w:tc>
          <w:tcPr>
            <w:tcW w:w="1080" w:type="dxa"/>
          </w:tcPr>
          <w:p w14:paraId="6C491C86" w14:textId="77777777" w:rsidR="00833918" w:rsidRPr="005F2D88" w:rsidRDefault="00833918" w:rsidP="00833918">
            <w:pPr>
              <w:tabs>
                <w:tab w:val="left" w:pos="9000"/>
              </w:tabs>
              <w:jc w:val="right"/>
              <w:rPr>
                <w:rFonts w:asciiTheme="majorHAnsi" w:hAnsiTheme="majorHAnsi"/>
                <w:color w:val="000000"/>
                <w:sz w:val="24"/>
                <w:szCs w:val="24"/>
              </w:rPr>
            </w:pPr>
            <w:r w:rsidRPr="005F2D88">
              <w:rPr>
                <w:rFonts w:asciiTheme="majorHAnsi" w:hAnsiTheme="majorHAnsi"/>
                <w:color w:val="000000"/>
                <w:sz w:val="24"/>
                <w:szCs w:val="24"/>
              </w:rPr>
              <w:t>38.6</w:t>
            </w:r>
          </w:p>
        </w:tc>
        <w:tc>
          <w:tcPr>
            <w:tcW w:w="1080" w:type="dxa"/>
          </w:tcPr>
          <w:p w14:paraId="4BD82DB3" w14:textId="77777777" w:rsidR="00833918" w:rsidRPr="005F2D88" w:rsidRDefault="00833918" w:rsidP="00833918">
            <w:pPr>
              <w:tabs>
                <w:tab w:val="left" w:pos="9000"/>
              </w:tabs>
              <w:jc w:val="center"/>
              <w:rPr>
                <w:rFonts w:asciiTheme="majorHAnsi" w:hAnsiTheme="majorHAnsi"/>
                <w:b/>
                <w:bCs/>
                <w:i/>
                <w:iCs/>
                <w:color w:val="008000"/>
                <w:sz w:val="24"/>
                <w:szCs w:val="24"/>
              </w:rPr>
            </w:pPr>
            <w:r w:rsidRPr="005F2D88">
              <w:rPr>
                <w:rFonts w:asciiTheme="majorHAnsi" w:hAnsiTheme="majorHAnsi"/>
                <w:color w:val="008000"/>
                <w:sz w:val="24"/>
                <w:szCs w:val="24"/>
              </w:rPr>
              <w:t>-3.7</w:t>
            </w:r>
          </w:p>
        </w:tc>
        <w:tc>
          <w:tcPr>
            <w:tcW w:w="1080" w:type="dxa"/>
          </w:tcPr>
          <w:p w14:paraId="3F5E10F5" w14:textId="77777777" w:rsidR="00833918" w:rsidRPr="005F2D88" w:rsidRDefault="00833918" w:rsidP="00833918">
            <w:pPr>
              <w:tabs>
                <w:tab w:val="left" w:pos="9000"/>
              </w:tabs>
              <w:jc w:val="center"/>
              <w:rPr>
                <w:rFonts w:asciiTheme="majorHAnsi" w:hAnsiTheme="majorHAnsi"/>
                <w:b/>
                <w:bCs/>
                <w:i/>
                <w:iCs/>
                <w:color w:val="FF0000"/>
                <w:sz w:val="24"/>
                <w:szCs w:val="24"/>
              </w:rPr>
            </w:pPr>
            <w:r w:rsidRPr="005F2D88">
              <w:rPr>
                <w:rFonts w:asciiTheme="majorHAnsi" w:hAnsiTheme="majorHAnsi"/>
                <w:color w:val="FF0000"/>
                <w:sz w:val="24"/>
                <w:szCs w:val="24"/>
              </w:rPr>
              <w:t>2.1</w:t>
            </w:r>
          </w:p>
        </w:tc>
        <w:tc>
          <w:tcPr>
            <w:tcW w:w="1142" w:type="dxa"/>
            <w:noWrap/>
            <w:hideMark/>
          </w:tcPr>
          <w:p w14:paraId="16BD542F" w14:textId="77777777" w:rsidR="00833918" w:rsidRPr="005F2D88" w:rsidRDefault="00833918" w:rsidP="00833918">
            <w:pPr>
              <w:tabs>
                <w:tab w:val="left" w:pos="9000"/>
              </w:tabs>
              <w:jc w:val="center"/>
              <w:rPr>
                <w:rFonts w:asciiTheme="majorHAnsi" w:hAnsiTheme="majorHAnsi"/>
                <w:b/>
                <w:bCs/>
                <w:i/>
                <w:iCs/>
                <w:color w:val="FF0000"/>
                <w:sz w:val="24"/>
                <w:szCs w:val="24"/>
              </w:rPr>
            </w:pPr>
            <w:r w:rsidRPr="005F2D88">
              <w:rPr>
                <w:rFonts w:asciiTheme="majorHAnsi" w:hAnsiTheme="majorHAnsi"/>
                <w:color w:val="FF0000"/>
                <w:sz w:val="24"/>
                <w:szCs w:val="24"/>
              </w:rPr>
              <w:t>5.4</w:t>
            </w:r>
          </w:p>
        </w:tc>
      </w:tr>
      <w:tr w:rsidR="00833918" w:rsidRPr="005F2D88" w14:paraId="617F3A47" w14:textId="77777777" w:rsidTr="00833918">
        <w:trPr>
          <w:trHeight w:val="300"/>
        </w:trPr>
        <w:tc>
          <w:tcPr>
            <w:tcW w:w="1474" w:type="dxa"/>
            <w:noWrap/>
            <w:vAlign w:val="center"/>
            <w:hideMark/>
          </w:tcPr>
          <w:p w14:paraId="2DB126F2" w14:textId="77777777" w:rsidR="00833918" w:rsidRPr="005F2D88" w:rsidRDefault="00833918" w:rsidP="00833918">
            <w:pPr>
              <w:tabs>
                <w:tab w:val="left" w:pos="9000"/>
              </w:tabs>
              <w:jc w:val="right"/>
              <w:rPr>
                <w:rFonts w:asciiTheme="majorHAnsi" w:hAnsiTheme="majorHAnsi"/>
                <w:color w:val="000000"/>
              </w:rPr>
            </w:pPr>
            <w:r w:rsidRPr="005F2D88">
              <w:rPr>
                <w:rFonts w:asciiTheme="majorHAnsi" w:hAnsiTheme="majorHAnsi"/>
                <w:color w:val="000000"/>
              </w:rPr>
              <w:t>Other Fuel</w:t>
            </w:r>
          </w:p>
        </w:tc>
        <w:tc>
          <w:tcPr>
            <w:tcW w:w="1080" w:type="dxa"/>
            <w:noWrap/>
            <w:hideMark/>
          </w:tcPr>
          <w:p w14:paraId="002FED8E" w14:textId="77777777" w:rsidR="00833918" w:rsidRPr="005F2D88" w:rsidRDefault="00833918" w:rsidP="00833918">
            <w:pPr>
              <w:tabs>
                <w:tab w:val="left" w:pos="9000"/>
              </w:tabs>
              <w:jc w:val="right"/>
              <w:rPr>
                <w:rFonts w:asciiTheme="majorHAnsi" w:hAnsiTheme="majorHAnsi"/>
                <w:color w:val="000000"/>
                <w:sz w:val="24"/>
                <w:szCs w:val="24"/>
              </w:rPr>
            </w:pPr>
            <w:r w:rsidRPr="005F2D88">
              <w:rPr>
                <w:rFonts w:asciiTheme="majorHAnsi" w:hAnsiTheme="majorHAnsi"/>
                <w:color w:val="000000"/>
                <w:sz w:val="24"/>
                <w:szCs w:val="24"/>
              </w:rPr>
              <w:t>16.9</w:t>
            </w:r>
          </w:p>
        </w:tc>
        <w:tc>
          <w:tcPr>
            <w:tcW w:w="1080" w:type="dxa"/>
            <w:noWrap/>
            <w:hideMark/>
          </w:tcPr>
          <w:p w14:paraId="49B919AE" w14:textId="77777777" w:rsidR="00833918" w:rsidRPr="005F2D88" w:rsidRDefault="00833918" w:rsidP="00833918">
            <w:pPr>
              <w:tabs>
                <w:tab w:val="left" w:pos="9000"/>
              </w:tabs>
              <w:jc w:val="right"/>
              <w:rPr>
                <w:rFonts w:asciiTheme="majorHAnsi" w:hAnsiTheme="majorHAnsi"/>
                <w:color w:val="000000"/>
                <w:sz w:val="24"/>
                <w:szCs w:val="24"/>
              </w:rPr>
            </w:pPr>
            <w:r w:rsidRPr="005F2D88">
              <w:rPr>
                <w:rFonts w:asciiTheme="majorHAnsi" w:hAnsiTheme="majorHAnsi"/>
                <w:color w:val="000000"/>
                <w:sz w:val="24"/>
                <w:szCs w:val="24"/>
              </w:rPr>
              <w:t>13.2</w:t>
            </w:r>
          </w:p>
        </w:tc>
        <w:tc>
          <w:tcPr>
            <w:tcW w:w="1080" w:type="dxa"/>
          </w:tcPr>
          <w:p w14:paraId="5D1B11C9" w14:textId="77777777" w:rsidR="00833918" w:rsidRPr="005F2D88" w:rsidRDefault="00833918" w:rsidP="00833918">
            <w:pPr>
              <w:tabs>
                <w:tab w:val="left" w:pos="9000"/>
              </w:tabs>
              <w:jc w:val="right"/>
              <w:rPr>
                <w:rFonts w:asciiTheme="majorHAnsi" w:hAnsiTheme="majorHAnsi"/>
                <w:color w:val="000000"/>
                <w:sz w:val="24"/>
                <w:szCs w:val="24"/>
              </w:rPr>
            </w:pPr>
            <w:r w:rsidRPr="005F2D88">
              <w:rPr>
                <w:rFonts w:asciiTheme="majorHAnsi" w:hAnsiTheme="majorHAnsi"/>
                <w:color w:val="000000"/>
                <w:sz w:val="24"/>
                <w:szCs w:val="24"/>
              </w:rPr>
              <w:t>14.1</w:t>
            </w:r>
          </w:p>
        </w:tc>
        <w:tc>
          <w:tcPr>
            <w:tcW w:w="1080" w:type="dxa"/>
          </w:tcPr>
          <w:p w14:paraId="7286319F" w14:textId="77777777" w:rsidR="00833918" w:rsidRPr="005F2D88" w:rsidRDefault="00833918" w:rsidP="00833918">
            <w:pPr>
              <w:tabs>
                <w:tab w:val="left" w:pos="9000"/>
              </w:tabs>
              <w:jc w:val="right"/>
              <w:rPr>
                <w:rFonts w:asciiTheme="majorHAnsi" w:hAnsiTheme="majorHAnsi"/>
                <w:color w:val="000000"/>
                <w:sz w:val="24"/>
                <w:szCs w:val="24"/>
              </w:rPr>
            </w:pPr>
            <w:r w:rsidRPr="005F2D88">
              <w:rPr>
                <w:rFonts w:asciiTheme="majorHAnsi" w:hAnsiTheme="majorHAnsi"/>
                <w:color w:val="000000"/>
                <w:sz w:val="24"/>
                <w:szCs w:val="24"/>
              </w:rPr>
              <w:t>13.3</w:t>
            </w:r>
          </w:p>
        </w:tc>
        <w:tc>
          <w:tcPr>
            <w:tcW w:w="1080" w:type="dxa"/>
          </w:tcPr>
          <w:p w14:paraId="212A864B" w14:textId="77777777" w:rsidR="00833918" w:rsidRPr="005F2D88" w:rsidRDefault="00833918" w:rsidP="00833918">
            <w:pPr>
              <w:tabs>
                <w:tab w:val="left" w:pos="9000"/>
              </w:tabs>
              <w:jc w:val="center"/>
              <w:rPr>
                <w:rFonts w:asciiTheme="majorHAnsi" w:hAnsiTheme="majorHAnsi"/>
                <w:b/>
                <w:bCs/>
                <w:i/>
                <w:iCs/>
                <w:color w:val="008000"/>
                <w:sz w:val="24"/>
                <w:szCs w:val="24"/>
              </w:rPr>
            </w:pPr>
            <w:r w:rsidRPr="005F2D88">
              <w:rPr>
                <w:rFonts w:asciiTheme="majorHAnsi" w:hAnsiTheme="majorHAnsi"/>
                <w:color w:val="008000"/>
                <w:sz w:val="24"/>
                <w:szCs w:val="24"/>
              </w:rPr>
              <w:t>-3.6</w:t>
            </w:r>
          </w:p>
        </w:tc>
        <w:tc>
          <w:tcPr>
            <w:tcW w:w="1080" w:type="dxa"/>
          </w:tcPr>
          <w:p w14:paraId="776EA384" w14:textId="77777777" w:rsidR="00833918" w:rsidRPr="005F2D88" w:rsidRDefault="00833918" w:rsidP="00833918">
            <w:pPr>
              <w:tabs>
                <w:tab w:val="left" w:pos="9000"/>
              </w:tabs>
              <w:jc w:val="center"/>
              <w:rPr>
                <w:rFonts w:asciiTheme="majorHAnsi" w:hAnsiTheme="majorHAnsi"/>
                <w:b/>
                <w:bCs/>
                <w:i/>
                <w:iCs/>
                <w:color w:val="008000"/>
                <w:sz w:val="24"/>
                <w:szCs w:val="24"/>
              </w:rPr>
            </w:pPr>
            <w:r w:rsidRPr="005F2D88">
              <w:rPr>
                <w:rFonts w:asciiTheme="majorHAnsi" w:hAnsiTheme="majorHAnsi"/>
                <w:color w:val="008000"/>
                <w:sz w:val="24"/>
                <w:szCs w:val="24"/>
              </w:rPr>
              <w:t>-0.8</w:t>
            </w:r>
          </w:p>
        </w:tc>
        <w:tc>
          <w:tcPr>
            <w:tcW w:w="1142" w:type="dxa"/>
            <w:noWrap/>
            <w:hideMark/>
          </w:tcPr>
          <w:p w14:paraId="6A83E89A" w14:textId="77777777" w:rsidR="00833918" w:rsidRPr="005F2D88" w:rsidRDefault="00833918" w:rsidP="00833918">
            <w:pPr>
              <w:tabs>
                <w:tab w:val="left" w:pos="9000"/>
              </w:tabs>
              <w:jc w:val="center"/>
              <w:rPr>
                <w:rFonts w:asciiTheme="majorHAnsi" w:hAnsiTheme="majorHAnsi"/>
                <w:b/>
                <w:bCs/>
                <w:i/>
                <w:iCs/>
                <w:color w:val="006100"/>
                <w:sz w:val="24"/>
                <w:szCs w:val="24"/>
              </w:rPr>
            </w:pPr>
            <w:r w:rsidRPr="005F2D88">
              <w:rPr>
                <w:rFonts w:asciiTheme="majorHAnsi" w:hAnsiTheme="majorHAnsi"/>
                <w:color w:val="006100"/>
                <w:sz w:val="24"/>
                <w:szCs w:val="24"/>
              </w:rPr>
              <w:t>-6.0</w:t>
            </w:r>
          </w:p>
        </w:tc>
      </w:tr>
      <w:tr w:rsidR="00833918" w:rsidRPr="005F2D88" w14:paraId="26AA93C1" w14:textId="77777777" w:rsidTr="00833918">
        <w:trPr>
          <w:trHeight w:val="269"/>
        </w:trPr>
        <w:tc>
          <w:tcPr>
            <w:tcW w:w="1474" w:type="dxa"/>
            <w:noWrap/>
            <w:vAlign w:val="center"/>
            <w:hideMark/>
          </w:tcPr>
          <w:p w14:paraId="68EBA9EE" w14:textId="77777777" w:rsidR="00833918" w:rsidRPr="005F2D88" w:rsidRDefault="00833918" w:rsidP="00833918">
            <w:pPr>
              <w:tabs>
                <w:tab w:val="left" w:pos="9000"/>
              </w:tabs>
              <w:jc w:val="right"/>
              <w:rPr>
                <w:rFonts w:asciiTheme="majorHAnsi" w:hAnsiTheme="majorHAnsi"/>
                <w:color w:val="000000"/>
              </w:rPr>
            </w:pPr>
            <w:r w:rsidRPr="005F2D88">
              <w:rPr>
                <w:rFonts w:asciiTheme="majorHAnsi" w:hAnsiTheme="majorHAnsi"/>
                <w:color w:val="000000"/>
              </w:rPr>
              <w:t>Other Facilities</w:t>
            </w:r>
          </w:p>
        </w:tc>
        <w:tc>
          <w:tcPr>
            <w:tcW w:w="1080" w:type="dxa"/>
            <w:noWrap/>
            <w:hideMark/>
          </w:tcPr>
          <w:p w14:paraId="33E2FE22" w14:textId="77777777" w:rsidR="00833918" w:rsidRPr="005F2D88" w:rsidRDefault="00833918" w:rsidP="00833918">
            <w:pPr>
              <w:tabs>
                <w:tab w:val="left" w:pos="9000"/>
              </w:tabs>
              <w:jc w:val="right"/>
              <w:rPr>
                <w:rFonts w:asciiTheme="majorHAnsi" w:hAnsiTheme="majorHAnsi"/>
                <w:color w:val="000000"/>
                <w:sz w:val="24"/>
                <w:szCs w:val="24"/>
              </w:rPr>
            </w:pPr>
            <w:r w:rsidRPr="005F2D88">
              <w:rPr>
                <w:rFonts w:asciiTheme="majorHAnsi" w:hAnsiTheme="majorHAnsi"/>
                <w:color w:val="000000"/>
                <w:sz w:val="24"/>
                <w:szCs w:val="24"/>
              </w:rPr>
              <w:t>12.4</w:t>
            </w:r>
          </w:p>
        </w:tc>
        <w:tc>
          <w:tcPr>
            <w:tcW w:w="1080" w:type="dxa"/>
            <w:noWrap/>
            <w:hideMark/>
          </w:tcPr>
          <w:p w14:paraId="263C1CB2" w14:textId="77777777" w:rsidR="00833918" w:rsidRPr="005F2D88" w:rsidRDefault="00833918" w:rsidP="00833918">
            <w:pPr>
              <w:tabs>
                <w:tab w:val="left" w:pos="9000"/>
              </w:tabs>
              <w:jc w:val="right"/>
              <w:rPr>
                <w:rFonts w:asciiTheme="majorHAnsi" w:hAnsiTheme="majorHAnsi"/>
                <w:color w:val="000000"/>
                <w:sz w:val="24"/>
                <w:szCs w:val="24"/>
              </w:rPr>
            </w:pPr>
            <w:r w:rsidRPr="005F2D88">
              <w:rPr>
                <w:rFonts w:asciiTheme="majorHAnsi" w:hAnsiTheme="majorHAnsi"/>
                <w:color w:val="000000"/>
                <w:sz w:val="24"/>
                <w:szCs w:val="24"/>
              </w:rPr>
              <w:t>6.1</w:t>
            </w:r>
          </w:p>
        </w:tc>
        <w:tc>
          <w:tcPr>
            <w:tcW w:w="1080" w:type="dxa"/>
          </w:tcPr>
          <w:p w14:paraId="6B2590EF" w14:textId="77777777" w:rsidR="00833918" w:rsidRPr="005F2D88" w:rsidRDefault="00833918" w:rsidP="00833918">
            <w:pPr>
              <w:tabs>
                <w:tab w:val="left" w:pos="9000"/>
              </w:tabs>
              <w:jc w:val="right"/>
              <w:rPr>
                <w:rFonts w:asciiTheme="majorHAnsi" w:hAnsiTheme="majorHAnsi"/>
                <w:color w:val="000000"/>
                <w:sz w:val="24"/>
                <w:szCs w:val="24"/>
              </w:rPr>
            </w:pPr>
            <w:r w:rsidRPr="005F2D88">
              <w:rPr>
                <w:rFonts w:asciiTheme="majorHAnsi" w:hAnsiTheme="majorHAnsi"/>
                <w:color w:val="000000"/>
                <w:sz w:val="24"/>
                <w:szCs w:val="24"/>
              </w:rPr>
              <w:t>15.0</w:t>
            </w:r>
          </w:p>
        </w:tc>
        <w:tc>
          <w:tcPr>
            <w:tcW w:w="1080" w:type="dxa"/>
          </w:tcPr>
          <w:p w14:paraId="1B360A7A" w14:textId="77777777" w:rsidR="00833918" w:rsidRPr="005F2D88" w:rsidRDefault="00833918" w:rsidP="00833918">
            <w:pPr>
              <w:tabs>
                <w:tab w:val="left" w:pos="9000"/>
              </w:tabs>
              <w:jc w:val="right"/>
              <w:rPr>
                <w:rFonts w:asciiTheme="majorHAnsi" w:hAnsiTheme="majorHAnsi"/>
                <w:color w:val="000000"/>
                <w:sz w:val="24"/>
                <w:szCs w:val="24"/>
              </w:rPr>
            </w:pPr>
            <w:r w:rsidRPr="005F2D88">
              <w:rPr>
                <w:rFonts w:asciiTheme="majorHAnsi" w:hAnsiTheme="majorHAnsi"/>
                <w:color w:val="000000"/>
                <w:sz w:val="24"/>
                <w:szCs w:val="24"/>
              </w:rPr>
              <w:t>15.2</w:t>
            </w:r>
          </w:p>
        </w:tc>
        <w:tc>
          <w:tcPr>
            <w:tcW w:w="1080" w:type="dxa"/>
          </w:tcPr>
          <w:p w14:paraId="033CA24C" w14:textId="77777777" w:rsidR="00833918" w:rsidRPr="00A03B8D" w:rsidRDefault="00833918" w:rsidP="00833918">
            <w:pPr>
              <w:tabs>
                <w:tab w:val="left" w:pos="9000"/>
              </w:tabs>
              <w:jc w:val="center"/>
              <w:rPr>
                <w:rFonts w:asciiTheme="majorHAnsi" w:hAnsiTheme="majorHAnsi"/>
                <w:b/>
                <w:bCs/>
                <w:i/>
                <w:iCs/>
                <w:color w:val="FF0000"/>
                <w:sz w:val="24"/>
                <w:szCs w:val="24"/>
              </w:rPr>
            </w:pPr>
            <w:r w:rsidRPr="00A03B8D">
              <w:rPr>
                <w:rFonts w:asciiTheme="majorHAnsi" w:hAnsiTheme="majorHAnsi"/>
                <w:color w:val="FF0000"/>
                <w:sz w:val="24"/>
                <w:szCs w:val="24"/>
              </w:rPr>
              <w:t>2.8</w:t>
            </w:r>
          </w:p>
        </w:tc>
        <w:tc>
          <w:tcPr>
            <w:tcW w:w="1080" w:type="dxa"/>
          </w:tcPr>
          <w:p w14:paraId="482AE506" w14:textId="77777777" w:rsidR="00833918" w:rsidRPr="005F2D88" w:rsidRDefault="00833918" w:rsidP="00833918">
            <w:pPr>
              <w:tabs>
                <w:tab w:val="left" w:pos="9000"/>
              </w:tabs>
              <w:jc w:val="center"/>
              <w:rPr>
                <w:rFonts w:asciiTheme="majorHAnsi" w:hAnsiTheme="majorHAnsi"/>
                <w:b/>
                <w:bCs/>
                <w:i/>
                <w:iCs/>
                <w:color w:val="FF0000"/>
                <w:sz w:val="24"/>
                <w:szCs w:val="24"/>
              </w:rPr>
            </w:pPr>
            <w:r w:rsidRPr="005F2D88">
              <w:rPr>
                <w:rFonts w:asciiTheme="majorHAnsi" w:hAnsiTheme="majorHAnsi"/>
                <w:color w:val="FF0000"/>
                <w:sz w:val="24"/>
                <w:szCs w:val="24"/>
              </w:rPr>
              <w:t>0.2</w:t>
            </w:r>
          </w:p>
        </w:tc>
        <w:tc>
          <w:tcPr>
            <w:tcW w:w="1142" w:type="dxa"/>
            <w:noWrap/>
            <w:hideMark/>
          </w:tcPr>
          <w:p w14:paraId="30A0DF7D" w14:textId="77777777" w:rsidR="00833918" w:rsidRPr="005F2D88" w:rsidRDefault="00833918" w:rsidP="00833918">
            <w:pPr>
              <w:tabs>
                <w:tab w:val="left" w:pos="9000"/>
              </w:tabs>
              <w:jc w:val="center"/>
              <w:rPr>
                <w:rFonts w:asciiTheme="majorHAnsi" w:hAnsiTheme="majorHAnsi"/>
                <w:b/>
                <w:bCs/>
                <w:i/>
                <w:iCs/>
                <w:color w:val="FF0000"/>
                <w:sz w:val="24"/>
                <w:szCs w:val="24"/>
              </w:rPr>
            </w:pPr>
            <w:r w:rsidRPr="005F2D88">
              <w:rPr>
                <w:rFonts w:asciiTheme="majorHAnsi" w:hAnsiTheme="majorHAnsi"/>
                <w:color w:val="FF0000"/>
                <w:sz w:val="24"/>
                <w:szCs w:val="24"/>
              </w:rPr>
              <w:t>1.3</w:t>
            </w:r>
          </w:p>
        </w:tc>
      </w:tr>
      <w:tr w:rsidR="00833918" w:rsidRPr="005F2D88" w14:paraId="7D871828" w14:textId="77777777" w:rsidTr="00833918">
        <w:tc>
          <w:tcPr>
            <w:tcW w:w="1474" w:type="dxa"/>
            <w:vAlign w:val="center"/>
          </w:tcPr>
          <w:p w14:paraId="78F328AE" w14:textId="77777777" w:rsidR="00833918" w:rsidRPr="005F2D88" w:rsidRDefault="00833918" w:rsidP="00833918">
            <w:pPr>
              <w:tabs>
                <w:tab w:val="left" w:pos="9000"/>
              </w:tabs>
              <w:jc w:val="center"/>
              <w:rPr>
                <w:rFonts w:asciiTheme="majorHAnsi" w:hAnsiTheme="majorHAnsi"/>
                <w:b/>
                <w:sz w:val="24"/>
                <w:szCs w:val="24"/>
              </w:rPr>
            </w:pPr>
            <w:r w:rsidRPr="005F2D88">
              <w:rPr>
                <w:rFonts w:asciiTheme="majorHAnsi" w:hAnsiTheme="majorHAnsi"/>
                <w:b/>
                <w:color w:val="000000"/>
                <w:sz w:val="24"/>
                <w:szCs w:val="24"/>
              </w:rPr>
              <w:t>Annual Totals</w:t>
            </w:r>
          </w:p>
        </w:tc>
        <w:tc>
          <w:tcPr>
            <w:tcW w:w="1080" w:type="dxa"/>
            <w:vAlign w:val="bottom"/>
          </w:tcPr>
          <w:p w14:paraId="236C85B0" w14:textId="77777777" w:rsidR="00833918" w:rsidRPr="008E0B67" w:rsidRDefault="00833918" w:rsidP="00833918">
            <w:pPr>
              <w:tabs>
                <w:tab w:val="left" w:pos="9000"/>
              </w:tabs>
              <w:jc w:val="center"/>
              <w:rPr>
                <w:rFonts w:asciiTheme="majorHAnsi" w:hAnsiTheme="majorHAnsi"/>
                <w:b/>
                <w:sz w:val="24"/>
                <w:szCs w:val="24"/>
              </w:rPr>
            </w:pPr>
            <w:r w:rsidRPr="008E0B67">
              <w:rPr>
                <w:rFonts w:asciiTheme="majorHAnsi" w:hAnsiTheme="majorHAnsi"/>
                <w:b/>
                <w:color w:val="000000"/>
                <w:sz w:val="24"/>
                <w:szCs w:val="24"/>
              </w:rPr>
              <w:t>1802.4</w:t>
            </w:r>
          </w:p>
        </w:tc>
        <w:tc>
          <w:tcPr>
            <w:tcW w:w="1080" w:type="dxa"/>
            <w:vAlign w:val="bottom"/>
          </w:tcPr>
          <w:p w14:paraId="155168C3" w14:textId="77777777" w:rsidR="00833918" w:rsidRPr="002D7087" w:rsidRDefault="00833918" w:rsidP="00833918">
            <w:pPr>
              <w:tabs>
                <w:tab w:val="left" w:pos="9000"/>
              </w:tabs>
              <w:jc w:val="center"/>
              <w:rPr>
                <w:rFonts w:asciiTheme="majorHAnsi" w:hAnsiTheme="majorHAnsi"/>
                <w:b/>
                <w:sz w:val="24"/>
                <w:szCs w:val="24"/>
              </w:rPr>
            </w:pPr>
            <w:r w:rsidRPr="002D7087">
              <w:rPr>
                <w:rFonts w:asciiTheme="majorHAnsi" w:hAnsiTheme="majorHAnsi"/>
                <w:b/>
                <w:color w:val="000000"/>
                <w:sz w:val="24"/>
                <w:szCs w:val="24"/>
              </w:rPr>
              <w:t>1653.8</w:t>
            </w:r>
          </w:p>
        </w:tc>
        <w:tc>
          <w:tcPr>
            <w:tcW w:w="1080" w:type="dxa"/>
            <w:vAlign w:val="bottom"/>
          </w:tcPr>
          <w:p w14:paraId="6F2CC0AD" w14:textId="77777777" w:rsidR="00833918" w:rsidRPr="00E6189B" w:rsidRDefault="00833918" w:rsidP="00833918">
            <w:pPr>
              <w:tabs>
                <w:tab w:val="left" w:pos="9000"/>
              </w:tabs>
              <w:jc w:val="center"/>
              <w:rPr>
                <w:rFonts w:asciiTheme="majorHAnsi" w:hAnsiTheme="majorHAnsi"/>
                <w:b/>
                <w:color w:val="000000"/>
                <w:sz w:val="24"/>
                <w:szCs w:val="24"/>
              </w:rPr>
            </w:pPr>
            <w:r w:rsidRPr="008D674A">
              <w:rPr>
                <w:rFonts w:asciiTheme="majorHAnsi" w:hAnsiTheme="majorHAnsi"/>
                <w:b/>
                <w:color w:val="000000"/>
                <w:sz w:val="24"/>
                <w:szCs w:val="24"/>
              </w:rPr>
              <w:t>1611.6</w:t>
            </w:r>
          </w:p>
        </w:tc>
        <w:tc>
          <w:tcPr>
            <w:tcW w:w="1080" w:type="dxa"/>
          </w:tcPr>
          <w:p w14:paraId="22E8A3C3" w14:textId="77777777" w:rsidR="00833918" w:rsidRPr="00A10731" w:rsidRDefault="00833918" w:rsidP="00833918">
            <w:pPr>
              <w:tabs>
                <w:tab w:val="left" w:pos="9000"/>
              </w:tabs>
              <w:rPr>
                <w:rFonts w:asciiTheme="majorHAnsi" w:hAnsiTheme="majorHAnsi"/>
                <w:b/>
                <w:color w:val="000000"/>
                <w:sz w:val="24"/>
                <w:szCs w:val="24"/>
              </w:rPr>
            </w:pPr>
          </w:p>
          <w:p w14:paraId="51DF2D81" w14:textId="77777777" w:rsidR="00833918" w:rsidRPr="008E0B67" w:rsidRDefault="00833918" w:rsidP="00833918">
            <w:pPr>
              <w:tabs>
                <w:tab w:val="left" w:pos="9000"/>
              </w:tabs>
              <w:jc w:val="center"/>
              <w:rPr>
                <w:rFonts w:asciiTheme="majorHAnsi" w:hAnsiTheme="majorHAnsi"/>
                <w:b/>
                <w:color w:val="000000"/>
                <w:sz w:val="24"/>
                <w:szCs w:val="24"/>
              </w:rPr>
            </w:pPr>
            <w:r w:rsidRPr="008E0B67">
              <w:rPr>
                <w:rFonts w:asciiTheme="majorHAnsi" w:hAnsiTheme="majorHAnsi"/>
                <w:b/>
                <w:color w:val="000000"/>
                <w:sz w:val="24"/>
                <w:szCs w:val="24"/>
              </w:rPr>
              <w:t>1599.4</w:t>
            </w:r>
          </w:p>
        </w:tc>
        <w:tc>
          <w:tcPr>
            <w:tcW w:w="1080" w:type="dxa"/>
            <w:vAlign w:val="bottom"/>
          </w:tcPr>
          <w:p w14:paraId="79E19A82" w14:textId="77777777" w:rsidR="00833918" w:rsidRPr="008E0B67" w:rsidRDefault="00833918" w:rsidP="00833918">
            <w:pPr>
              <w:tabs>
                <w:tab w:val="left" w:pos="9000"/>
              </w:tabs>
              <w:jc w:val="center"/>
              <w:rPr>
                <w:rFonts w:asciiTheme="majorHAnsi" w:hAnsiTheme="majorHAnsi"/>
                <w:b/>
                <w:color w:val="008000"/>
                <w:sz w:val="24"/>
                <w:szCs w:val="24"/>
              </w:rPr>
            </w:pPr>
            <w:r w:rsidRPr="008E0B67">
              <w:rPr>
                <w:rFonts w:asciiTheme="majorHAnsi" w:hAnsiTheme="majorHAnsi"/>
                <w:b/>
                <w:color w:val="008000"/>
                <w:sz w:val="24"/>
                <w:szCs w:val="24"/>
              </w:rPr>
              <w:t>-203.0</w:t>
            </w:r>
          </w:p>
        </w:tc>
        <w:tc>
          <w:tcPr>
            <w:tcW w:w="1080" w:type="dxa"/>
          </w:tcPr>
          <w:p w14:paraId="5EF1559A" w14:textId="77777777" w:rsidR="00833918" w:rsidRPr="008E0B67" w:rsidRDefault="00833918" w:rsidP="00833918">
            <w:pPr>
              <w:tabs>
                <w:tab w:val="left" w:pos="9000"/>
              </w:tabs>
              <w:jc w:val="center"/>
              <w:rPr>
                <w:rFonts w:asciiTheme="majorHAnsi" w:hAnsiTheme="majorHAnsi"/>
                <w:b/>
                <w:color w:val="008000"/>
                <w:sz w:val="24"/>
                <w:szCs w:val="24"/>
              </w:rPr>
            </w:pPr>
          </w:p>
          <w:p w14:paraId="6B6DCFD5" w14:textId="77777777" w:rsidR="00833918" w:rsidRPr="008E0B67" w:rsidRDefault="00833918" w:rsidP="00833918">
            <w:pPr>
              <w:tabs>
                <w:tab w:val="left" w:pos="9000"/>
              </w:tabs>
              <w:jc w:val="center"/>
              <w:rPr>
                <w:rFonts w:asciiTheme="majorHAnsi" w:hAnsiTheme="majorHAnsi"/>
                <w:b/>
                <w:color w:val="008000"/>
                <w:sz w:val="24"/>
                <w:szCs w:val="24"/>
              </w:rPr>
            </w:pPr>
            <w:r w:rsidRPr="008E0B67">
              <w:rPr>
                <w:rFonts w:asciiTheme="majorHAnsi" w:hAnsiTheme="majorHAnsi"/>
                <w:b/>
                <w:color w:val="008000"/>
                <w:sz w:val="24"/>
                <w:szCs w:val="24"/>
              </w:rPr>
              <w:t>-12.2</w:t>
            </w:r>
          </w:p>
        </w:tc>
        <w:tc>
          <w:tcPr>
            <w:tcW w:w="1142" w:type="dxa"/>
            <w:vAlign w:val="bottom"/>
          </w:tcPr>
          <w:p w14:paraId="6ECB04E1" w14:textId="77777777" w:rsidR="00833918" w:rsidRPr="008E0B67" w:rsidRDefault="00833918" w:rsidP="00833918">
            <w:pPr>
              <w:tabs>
                <w:tab w:val="left" w:pos="9000"/>
              </w:tabs>
              <w:jc w:val="center"/>
              <w:rPr>
                <w:rFonts w:asciiTheme="majorHAnsi" w:hAnsiTheme="majorHAnsi"/>
                <w:b/>
                <w:color w:val="008000"/>
                <w:sz w:val="24"/>
                <w:szCs w:val="24"/>
              </w:rPr>
            </w:pPr>
            <w:r w:rsidRPr="008E0B67">
              <w:rPr>
                <w:rFonts w:asciiTheme="majorHAnsi" w:hAnsiTheme="majorHAnsi"/>
                <w:b/>
                <w:color w:val="008000"/>
                <w:sz w:val="24"/>
                <w:szCs w:val="24"/>
              </w:rPr>
              <w:t>-0.8</w:t>
            </w:r>
          </w:p>
        </w:tc>
      </w:tr>
    </w:tbl>
    <w:p w14:paraId="48120BDD" w14:textId="77777777" w:rsidR="00833918" w:rsidRDefault="00833918" w:rsidP="0080266D">
      <w:pPr>
        <w:tabs>
          <w:tab w:val="left" w:pos="9000"/>
        </w:tabs>
        <w:rPr>
          <w:sz w:val="24"/>
        </w:rPr>
      </w:pPr>
    </w:p>
    <w:p w14:paraId="3E28A0A7" w14:textId="2A4559D0" w:rsidR="008E0B67" w:rsidRDefault="00F85ECA" w:rsidP="0080266D">
      <w:pPr>
        <w:tabs>
          <w:tab w:val="left" w:pos="9000"/>
        </w:tabs>
        <w:rPr>
          <w:sz w:val="24"/>
        </w:rPr>
      </w:pPr>
      <w:r>
        <w:rPr>
          <w:sz w:val="24"/>
        </w:rPr>
        <w:t>attributable to the 20% decrease in emissions intensity of electricity usage over that time span, combined with a slight reduction in kWh consumed.</w:t>
      </w:r>
    </w:p>
    <w:p w14:paraId="0C4D7915" w14:textId="77777777" w:rsidR="00833918" w:rsidRDefault="00833918" w:rsidP="0080266D">
      <w:pPr>
        <w:tabs>
          <w:tab w:val="left" w:pos="9000"/>
        </w:tabs>
        <w:rPr>
          <w:sz w:val="24"/>
        </w:rPr>
      </w:pPr>
    </w:p>
    <w:p w14:paraId="368D099C" w14:textId="0599B522" w:rsidR="00DF3EEE" w:rsidRDefault="00F85ECA" w:rsidP="0080266D">
      <w:pPr>
        <w:tabs>
          <w:tab w:val="left" w:pos="9000"/>
        </w:tabs>
        <w:rPr>
          <w:sz w:val="24"/>
        </w:rPr>
      </w:pPr>
      <w:r>
        <w:rPr>
          <w:sz w:val="24"/>
        </w:rPr>
        <w:t xml:space="preserve">Another notable change in emissions is the 51.0 MTCDE decrease in emissions from the Century Center between 2011 and 2016, and the 19.4 MTCDE decrease between 2015 and 2016 alone. The building consumed nearly 25% less natural gas in 2016 than in 2015. The decreasing carbon intensity of electricity generation accounts for much of the remaining decrease in emissions since 2011. </w:t>
      </w:r>
      <w:r w:rsidR="00756BD1">
        <w:rPr>
          <w:sz w:val="24"/>
        </w:rPr>
        <w:t>Figure 5 was constructed to better illustrate the recent changes in natural gas consumption at the facility</w:t>
      </w:r>
      <w:r w:rsidR="00DF3EEE">
        <w:rPr>
          <w:sz w:val="24"/>
        </w:rPr>
        <w:t>.</w:t>
      </w:r>
    </w:p>
    <w:p w14:paraId="3E45E0D5" w14:textId="77777777" w:rsidR="00833918" w:rsidRDefault="00833918" w:rsidP="00833918">
      <w:pPr>
        <w:tabs>
          <w:tab w:val="left" w:pos="9000"/>
        </w:tabs>
        <w:rPr>
          <w:sz w:val="24"/>
        </w:rPr>
      </w:pPr>
    </w:p>
    <w:p w14:paraId="601FC7EE" w14:textId="77777777" w:rsidR="00833918" w:rsidRDefault="00833918" w:rsidP="00833918">
      <w:pPr>
        <w:tabs>
          <w:tab w:val="left" w:pos="9000"/>
        </w:tabs>
        <w:rPr>
          <w:sz w:val="24"/>
        </w:rPr>
      </w:pPr>
      <w:r>
        <w:rPr>
          <w:sz w:val="24"/>
        </w:rPr>
        <w:t>From Figure 5, it is clear that the Century Center’s natural gas usage decreased significantly in the past two years, and most notably in the colder months. Natural gas usage at the facility would traditionally peak between January and March, with a peak in March 2015 at 2677 therms. At the peak in February 2016, the Century Center used 2054 therms, and at the peak in January 2017, the facility only used 1516 therms, which is a 43.4% reduction in peak monthly natural gas usage in just two years.  This may be partly attributable to the investment that was made to improve the performance of the building’s HVAC system.</w:t>
      </w:r>
    </w:p>
    <w:p w14:paraId="10CDEDC4" w14:textId="7F82D948" w:rsidR="00756BD1" w:rsidRDefault="00756BD1" w:rsidP="0080266D">
      <w:pPr>
        <w:tabs>
          <w:tab w:val="left" w:pos="9000"/>
        </w:tabs>
        <w:rPr>
          <w:sz w:val="24"/>
        </w:rPr>
      </w:pPr>
    </w:p>
    <w:p w14:paraId="28B1C648" w14:textId="77777777" w:rsidR="00833918" w:rsidRDefault="00833918">
      <w:pPr>
        <w:rPr>
          <w:b/>
          <w:sz w:val="24"/>
        </w:rPr>
      </w:pPr>
      <w:r>
        <w:rPr>
          <w:b/>
          <w:sz w:val="24"/>
        </w:rPr>
        <w:br w:type="page"/>
      </w:r>
    </w:p>
    <w:p w14:paraId="472732DF" w14:textId="6F5EF389" w:rsidR="00756BD1" w:rsidRDefault="00774385" w:rsidP="00774385">
      <w:pPr>
        <w:tabs>
          <w:tab w:val="left" w:pos="9000"/>
        </w:tabs>
        <w:jc w:val="center"/>
        <w:rPr>
          <w:sz w:val="24"/>
        </w:rPr>
      </w:pPr>
      <w:r w:rsidRPr="00774385">
        <w:rPr>
          <w:b/>
          <w:sz w:val="24"/>
        </w:rPr>
        <w:t>Figure 5</w:t>
      </w:r>
    </w:p>
    <w:p w14:paraId="3C3A97BD" w14:textId="5003839E" w:rsidR="00F85ECA" w:rsidRDefault="00DF3EEE" w:rsidP="0080266D">
      <w:pPr>
        <w:tabs>
          <w:tab w:val="left" w:pos="9000"/>
        </w:tabs>
        <w:rPr>
          <w:sz w:val="24"/>
        </w:rPr>
      </w:pPr>
      <w:r w:rsidRPr="00A10D79">
        <w:rPr>
          <w:noProof/>
          <w:sz w:val="24"/>
        </w:rPr>
        <w:drawing>
          <wp:inline distT="0" distB="0" distL="0" distR="0" wp14:anchorId="7E3543C9" wp14:editId="719C1685">
            <wp:extent cx="5829300" cy="2563397"/>
            <wp:effectExtent l="0" t="0" r="0" b="254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31797" cy="2564495"/>
                    </a:xfrm>
                    <a:prstGeom prst="rect">
                      <a:avLst/>
                    </a:prstGeom>
                    <a:noFill/>
                    <a:ln>
                      <a:noFill/>
                    </a:ln>
                  </pic:spPr>
                </pic:pic>
              </a:graphicData>
            </a:graphic>
          </wp:inline>
        </w:drawing>
      </w:r>
    </w:p>
    <w:p w14:paraId="0809B878" w14:textId="76B2064B" w:rsidR="00756BD1" w:rsidRPr="00774385" w:rsidRDefault="00756BD1" w:rsidP="00774385">
      <w:pPr>
        <w:tabs>
          <w:tab w:val="left" w:pos="9000"/>
        </w:tabs>
        <w:jc w:val="center"/>
        <w:rPr>
          <w:b/>
          <w:sz w:val="24"/>
        </w:rPr>
      </w:pPr>
    </w:p>
    <w:p w14:paraId="77F683C5" w14:textId="77777777" w:rsidR="00756BD1" w:rsidRDefault="00756BD1" w:rsidP="00774385">
      <w:pPr>
        <w:tabs>
          <w:tab w:val="left" w:pos="9000"/>
        </w:tabs>
        <w:jc w:val="center"/>
        <w:rPr>
          <w:sz w:val="24"/>
        </w:rPr>
      </w:pPr>
    </w:p>
    <w:p w14:paraId="2EDC07BA" w14:textId="77777777" w:rsidR="00F85ECA" w:rsidRDefault="00F85ECA" w:rsidP="0080266D">
      <w:pPr>
        <w:tabs>
          <w:tab w:val="left" w:pos="9000"/>
        </w:tabs>
        <w:rPr>
          <w:sz w:val="24"/>
        </w:rPr>
      </w:pPr>
      <w:r>
        <w:rPr>
          <w:sz w:val="24"/>
        </w:rPr>
        <w:t xml:space="preserve">The third largest emissions change since 2011 is from Fire Station #1, which was down 40.6 MTCDE from its 2011 emissions levels in 2016. This resulted from a 16.5% reduction in electricity use and a 24.3% decrease in natural gas usage in the building between 2011 and 2016. </w:t>
      </w:r>
    </w:p>
    <w:p w14:paraId="4A212AC9" w14:textId="77777777" w:rsidR="00F85ECA" w:rsidRDefault="00F85ECA" w:rsidP="0080266D">
      <w:pPr>
        <w:tabs>
          <w:tab w:val="left" w:pos="9000"/>
        </w:tabs>
        <w:rPr>
          <w:sz w:val="24"/>
        </w:rPr>
      </w:pPr>
    </w:p>
    <w:p w14:paraId="75732E0B" w14:textId="77777777" w:rsidR="00F85ECA" w:rsidRDefault="00F85ECA" w:rsidP="0080266D">
      <w:pPr>
        <w:tabs>
          <w:tab w:val="left" w:pos="9000"/>
        </w:tabs>
        <w:rPr>
          <w:sz w:val="24"/>
        </w:rPr>
      </w:pPr>
      <w:r>
        <w:rPr>
          <w:sz w:val="24"/>
        </w:rPr>
        <w:t>Other notable changes in the past year from 2015 to 2016 include both Public Works and Police Department fuel usage. Although the emissions from Public Works in 2016 were 20.8 MTCDE higher than they were in 2011, its total emissions of 307.8 MTCDE was a decrease of 17.5 MTCDE, or 5.7%, compared to last year. The overall increase compared to 2011 is likely attributable to longer solid waste haul distances.</w:t>
      </w:r>
    </w:p>
    <w:p w14:paraId="5EBA51B5" w14:textId="77777777" w:rsidR="00F85ECA" w:rsidRDefault="00F85ECA" w:rsidP="0080266D">
      <w:pPr>
        <w:tabs>
          <w:tab w:val="left" w:pos="9000"/>
        </w:tabs>
        <w:rPr>
          <w:sz w:val="24"/>
        </w:rPr>
      </w:pPr>
    </w:p>
    <w:p w14:paraId="2CDD7462" w14:textId="77777777" w:rsidR="00F85ECA" w:rsidRDefault="00F85ECA" w:rsidP="0080266D">
      <w:pPr>
        <w:tabs>
          <w:tab w:val="left" w:pos="9000"/>
        </w:tabs>
        <w:rPr>
          <w:sz w:val="24"/>
        </w:rPr>
      </w:pPr>
      <w:r>
        <w:rPr>
          <w:sz w:val="24"/>
        </w:rPr>
        <w:t xml:space="preserve">The Police Department has cut its fuel emissions by 13.9 MTCDE compared to 2011, but in 2016 its emissions increased 17.7 MTCDE, or 6.1%, over last year. </w:t>
      </w:r>
    </w:p>
    <w:p w14:paraId="46C68F18" w14:textId="77777777" w:rsidR="00F85ECA" w:rsidRDefault="00F85ECA" w:rsidP="0080266D">
      <w:pPr>
        <w:tabs>
          <w:tab w:val="left" w:pos="9000"/>
        </w:tabs>
        <w:rPr>
          <w:sz w:val="24"/>
        </w:rPr>
      </w:pPr>
    </w:p>
    <w:p w14:paraId="4A6C6E19" w14:textId="2916A41D" w:rsidR="00F85ECA" w:rsidRDefault="000E78CA" w:rsidP="0080266D">
      <w:pPr>
        <w:tabs>
          <w:tab w:val="left" w:pos="9000"/>
        </w:tabs>
        <w:rPr>
          <w:sz w:val="24"/>
        </w:rPr>
      </w:pPr>
      <w:r>
        <w:rPr>
          <w:sz w:val="24"/>
        </w:rPr>
        <w:t>Overall for 2016</w:t>
      </w:r>
      <w:r w:rsidR="00F85ECA">
        <w:rPr>
          <w:sz w:val="24"/>
        </w:rPr>
        <w:t xml:space="preserve">, the 17.7 MTCDE increase in Police Department fuel emissions was almost entirely negated by the 17.5 decrease in Public Works fuel </w:t>
      </w:r>
      <w:r>
        <w:rPr>
          <w:sz w:val="24"/>
        </w:rPr>
        <w:t>emissions.</w:t>
      </w:r>
    </w:p>
    <w:p w14:paraId="3CC8A1E1" w14:textId="77777777" w:rsidR="00F85ECA" w:rsidRDefault="00F85ECA" w:rsidP="0080266D">
      <w:pPr>
        <w:tabs>
          <w:tab w:val="left" w:pos="9000"/>
        </w:tabs>
        <w:rPr>
          <w:sz w:val="24"/>
        </w:rPr>
      </w:pPr>
    </w:p>
    <w:p w14:paraId="77F704AF" w14:textId="0EA54983" w:rsidR="00F85ECA" w:rsidRPr="00BA6C84" w:rsidRDefault="00F85ECA" w:rsidP="0080266D">
      <w:pPr>
        <w:tabs>
          <w:tab w:val="left" w:pos="9000"/>
        </w:tabs>
        <w:rPr>
          <w:sz w:val="24"/>
        </w:rPr>
      </w:pPr>
      <w:r>
        <w:rPr>
          <w:sz w:val="24"/>
        </w:rPr>
        <w:t xml:space="preserve">Taken together, these five areas of change impact the Town’s five largest sources of emissions, and make up 89.9% of all net emissions changes between 2011 and 2016. Therefore, continued focus on these areas </w:t>
      </w:r>
      <w:r w:rsidR="0093122D">
        <w:rPr>
          <w:sz w:val="24"/>
        </w:rPr>
        <w:t xml:space="preserve">will be needed </w:t>
      </w:r>
      <w:r>
        <w:rPr>
          <w:sz w:val="24"/>
        </w:rPr>
        <w:t xml:space="preserve">for </w:t>
      </w:r>
      <w:r w:rsidR="0093122D">
        <w:rPr>
          <w:sz w:val="24"/>
        </w:rPr>
        <w:t xml:space="preserve">significant </w:t>
      </w:r>
      <w:r>
        <w:rPr>
          <w:sz w:val="24"/>
        </w:rPr>
        <w:t>fu</w:t>
      </w:r>
      <w:r w:rsidR="0093122D">
        <w:rPr>
          <w:sz w:val="24"/>
        </w:rPr>
        <w:t>ture</w:t>
      </w:r>
      <w:r>
        <w:rPr>
          <w:sz w:val="24"/>
        </w:rPr>
        <w:t xml:space="preserve"> reductions. </w:t>
      </w:r>
    </w:p>
    <w:p w14:paraId="5E66AF3A" w14:textId="77777777" w:rsidR="00DF3EEE" w:rsidRDefault="00DF3EEE" w:rsidP="00DF3EEE">
      <w:pPr>
        <w:tabs>
          <w:tab w:val="left" w:pos="9000"/>
        </w:tabs>
        <w:rPr>
          <w:sz w:val="24"/>
        </w:rPr>
      </w:pPr>
    </w:p>
    <w:p w14:paraId="02E01BEB" w14:textId="77777777" w:rsidR="00EF3E22" w:rsidRDefault="00EF3E22" w:rsidP="0080266D">
      <w:pPr>
        <w:tabs>
          <w:tab w:val="left" w:pos="9000"/>
        </w:tabs>
        <w:jc w:val="both"/>
        <w:rPr>
          <w:b/>
          <w:sz w:val="24"/>
          <w:u w:val="single"/>
        </w:rPr>
      </w:pPr>
      <w:r w:rsidRPr="003446A6">
        <w:rPr>
          <w:b/>
          <w:sz w:val="24"/>
          <w:u w:val="single"/>
        </w:rPr>
        <w:t>Emissions Reduction</w:t>
      </w:r>
    </w:p>
    <w:p w14:paraId="58949F36" w14:textId="77777777" w:rsidR="009D666E" w:rsidRDefault="009D666E" w:rsidP="0080266D">
      <w:pPr>
        <w:tabs>
          <w:tab w:val="left" w:pos="9000"/>
        </w:tabs>
        <w:rPr>
          <w:sz w:val="24"/>
        </w:rPr>
      </w:pPr>
    </w:p>
    <w:p w14:paraId="5D4A1FE1" w14:textId="77777777" w:rsidR="009D666E" w:rsidRPr="00774385" w:rsidRDefault="009D666E" w:rsidP="0080266D">
      <w:pPr>
        <w:tabs>
          <w:tab w:val="left" w:pos="9000"/>
        </w:tabs>
        <w:rPr>
          <w:i/>
          <w:sz w:val="24"/>
          <w:szCs w:val="24"/>
        </w:rPr>
      </w:pPr>
      <w:r w:rsidRPr="00774385">
        <w:rPr>
          <w:i/>
          <w:sz w:val="24"/>
          <w:szCs w:val="24"/>
        </w:rPr>
        <w:t>Current Actions</w:t>
      </w:r>
    </w:p>
    <w:p w14:paraId="7FB5D94B" w14:textId="77777777" w:rsidR="009D666E" w:rsidRDefault="009D666E" w:rsidP="0080266D">
      <w:pPr>
        <w:tabs>
          <w:tab w:val="left" w:pos="9000"/>
        </w:tabs>
        <w:rPr>
          <w:sz w:val="24"/>
          <w:szCs w:val="24"/>
          <w:u w:val="single"/>
        </w:rPr>
      </w:pPr>
    </w:p>
    <w:p w14:paraId="48A14DDA" w14:textId="45E9D063" w:rsidR="002D7087" w:rsidRDefault="009D666E" w:rsidP="0080266D">
      <w:pPr>
        <w:tabs>
          <w:tab w:val="left" w:pos="9000"/>
        </w:tabs>
        <w:rPr>
          <w:sz w:val="24"/>
        </w:rPr>
      </w:pPr>
      <w:r>
        <w:rPr>
          <w:sz w:val="24"/>
        </w:rPr>
        <w:t>The Community Climate Action Plan</w:t>
      </w:r>
      <w:r w:rsidR="001865F9">
        <w:rPr>
          <w:sz w:val="24"/>
        </w:rPr>
        <w:t xml:space="preserve"> (CCAP)</w:t>
      </w:r>
      <w:r>
        <w:rPr>
          <w:sz w:val="24"/>
        </w:rPr>
        <w:t xml:space="preserve"> </w:t>
      </w:r>
      <w:r w:rsidR="00F43E0B">
        <w:rPr>
          <w:sz w:val="24"/>
        </w:rPr>
        <w:t>adopted in</w:t>
      </w:r>
      <w:r>
        <w:rPr>
          <w:sz w:val="24"/>
        </w:rPr>
        <w:t xml:space="preserve"> January 2017 </w:t>
      </w:r>
      <w:r w:rsidR="00F43E0B">
        <w:rPr>
          <w:sz w:val="24"/>
        </w:rPr>
        <w:t>included</w:t>
      </w:r>
      <w:r>
        <w:rPr>
          <w:sz w:val="24"/>
        </w:rPr>
        <w:t xml:space="preserve"> recommendations as to how the Town government and larger Carrboro community should proceed with greenhouse gas emissions reductions. </w:t>
      </w:r>
      <w:r w:rsidR="009B7E7A">
        <w:rPr>
          <w:sz w:val="24"/>
        </w:rPr>
        <w:t>A</w:t>
      </w:r>
      <w:r>
        <w:rPr>
          <w:sz w:val="24"/>
        </w:rPr>
        <w:t xml:space="preserve"> primary recommendation of the report was a 50% </w:t>
      </w:r>
      <w:r w:rsidR="009B7E7A">
        <w:rPr>
          <w:sz w:val="24"/>
        </w:rPr>
        <w:t xml:space="preserve">per capita </w:t>
      </w:r>
      <w:r>
        <w:rPr>
          <w:sz w:val="24"/>
        </w:rPr>
        <w:t>emissions</w:t>
      </w:r>
      <w:r w:rsidR="009B7E7A">
        <w:rPr>
          <w:sz w:val="24"/>
        </w:rPr>
        <w:t xml:space="preserve"> reduction goal</w:t>
      </w:r>
      <w:r>
        <w:rPr>
          <w:sz w:val="24"/>
        </w:rPr>
        <w:t xml:space="preserve"> by 2025, </w:t>
      </w:r>
      <w:r w:rsidR="009B7E7A">
        <w:rPr>
          <w:sz w:val="24"/>
        </w:rPr>
        <w:t>through</w:t>
      </w:r>
      <w:r>
        <w:rPr>
          <w:sz w:val="24"/>
        </w:rPr>
        <w:t xml:space="preserve"> a broad community campaign. The </w:t>
      </w:r>
      <w:r w:rsidR="009B7E7A">
        <w:rPr>
          <w:sz w:val="24"/>
        </w:rPr>
        <w:t xml:space="preserve">recommendations in the plan that are perhaps the </w:t>
      </w:r>
      <w:r w:rsidR="00802FA4">
        <w:rPr>
          <w:sz w:val="24"/>
        </w:rPr>
        <w:t>most relevant</w:t>
      </w:r>
      <w:r w:rsidR="008447C8">
        <w:rPr>
          <w:sz w:val="24"/>
        </w:rPr>
        <w:t xml:space="preserve"> to this inventory </w:t>
      </w:r>
      <w:r w:rsidR="009B7E7A">
        <w:rPr>
          <w:sz w:val="24"/>
        </w:rPr>
        <w:t xml:space="preserve">relate to </w:t>
      </w:r>
      <w:r w:rsidR="001865F9">
        <w:rPr>
          <w:sz w:val="24"/>
        </w:rPr>
        <w:t xml:space="preserve">reducing </w:t>
      </w:r>
      <w:r w:rsidR="009B7E7A">
        <w:rPr>
          <w:sz w:val="24"/>
        </w:rPr>
        <w:t xml:space="preserve">emissions related to </w:t>
      </w:r>
      <w:r w:rsidR="001865F9">
        <w:rPr>
          <w:sz w:val="24"/>
        </w:rPr>
        <w:t>energy use in buildings</w:t>
      </w:r>
      <w:r w:rsidR="009B7E7A">
        <w:rPr>
          <w:sz w:val="24"/>
        </w:rPr>
        <w:t xml:space="preserve">, from transportation/fleet operations, </w:t>
      </w:r>
      <w:r w:rsidR="007E1E13">
        <w:rPr>
          <w:sz w:val="24"/>
        </w:rPr>
        <w:t xml:space="preserve">and </w:t>
      </w:r>
      <w:r w:rsidR="008447C8">
        <w:rPr>
          <w:sz w:val="24"/>
        </w:rPr>
        <w:t>invest</w:t>
      </w:r>
      <w:r w:rsidR="009B7E7A">
        <w:rPr>
          <w:sz w:val="24"/>
        </w:rPr>
        <w:t>ment</w:t>
      </w:r>
      <w:r w:rsidR="008447C8">
        <w:rPr>
          <w:sz w:val="24"/>
        </w:rPr>
        <w:t xml:space="preserve"> in renewable energy projects</w:t>
      </w:r>
      <w:r w:rsidR="001865F9">
        <w:rPr>
          <w:sz w:val="24"/>
        </w:rPr>
        <w:t>.</w:t>
      </w:r>
    </w:p>
    <w:p w14:paraId="63FE8B8A" w14:textId="77777777" w:rsidR="008E0B67" w:rsidRDefault="008E0B67" w:rsidP="0080266D">
      <w:pPr>
        <w:tabs>
          <w:tab w:val="left" w:pos="9000"/>
        </w:tabs>
        <w:rPr>
          <w:sz w:val="24"/>
        </w:rPr>
      </w:pPr>
    </w:p>
    <w:p w14:paraId="71C9B5BF" w14:textId="624E4C35" w:rsidR="00084FF8" w:rsidRPr="00774385" w:rsidRDefault="00084FF8" w:rsidP="0080266D">
      <w:pPr>
        <w:tabs>
          <w:tab w:val="left" w:pos="9000"/>
        </w:tabs>
        <w:rPr>
          <w:i/>
          <w:sz w:val="24"/>
        </w:rPr>
      </w:pPr>
      <w:r w:rsidRPr="00774385">
        <w:rPr>
          <w:i/>
          <w:sz w:val="24"/>
        </w:rPr>
        <w:t>Policy Options</w:t>
      </w:r>
    </w:p>
    <w:p w14:paraId="698AE3B3" w14:textId="77777777" w:rsidR="00D02027" w:rsidRDefault="00D02027" w:rsidP="0080266D">
      <w:pPr>
        <w:tabs>
          <w:tab w:val="left" w:pos="9000"/>
        </w:tabs>
        <w:rPr>
          <w:sz w:val="24"/>
        </w:rPr>
      </w:pPr>
    </w:p>
    <w:p w14:paraId="1A89BBCB" w14:textId="3C7FF3BF" w:rsidR="0075793B" w:rsidRDefault="008045DE" w:rsidP="0080266D">
      <w:pPr>
        <w:tabs>
          <w:tab w:val="left" w:pos="9000"/>
        </w:tabs>
        <w:rPr>
          <w:sz w:val="24"/>
        </w:rPr>
      </w:pPr>
      <w:r>
        <w:rPr>
          <w:sz w:val="24"/>
        </w:rPr>
        <w:t xml:space="preserve">The reduction of energy use in Town buildings is </w:t>
      </w:r>
      <w:r w:rsidR="0093122D">
        <w:rPr>
          <w:sz w:val="24"/>
        </w:rPr>
        <w:t xml:space="preserve">important </w:t>
      </w:r>
      <w:r>
        <w:rPr>
          <w:sz w:val="24"/>
        </w:rPr>
        <w:t>t</w:t>
      </w:r>
      <w:r w:rsidR="00344F9C">
        <w:rPr>
          <w:sz w:val="24"/>
        </w:rPr>
        <w:t>o reduce emissions, as buildings</w:t>
      </w:r>
      <w:r>
        <w:rPr>
          <w:sz w:val="24"/>
        </w:rPr>
        <w:t xml:space="preserve"> account</w:t>
      </w:r>
      <w:r w:rsidR="000C58C0">
        <w:rPr>
          <w:sz w:val="24"/>
        </w:rPr>
        <w:t>ed</w:t>
      </w:r>
      <w:r>
        <w:rPr>
          <w:sz w:val="24"/>
        </w:rPr>
        <w:t xml:space="preserve"> for </w:t>
      </w:r>
      <w:r w:rsidR="000C58C0">
        <w:rPr>
          <w:sz w:val="24"/>
        </w:rPr>
        <w:t xml:space="preserve">30% of municipal emissions in 2016. This was the highest single contributor to emissions, as depicted in Figure </w:t>
      </w:r>
      <w:r w:rsidR="00833918">
        <w:rPr>
          <w:sz w:val="24"/>
        </w:rPr>
        <w:t>6</w:t>
      </w:r>
      <w:r w:rsidR="000C58C0">
        <w:rPr>
          <w:sz w:val="24"/>
        </w:rPr>
        <w:t>.</w:t>
      </w:r>
      <w:r w:rsidR="004E501A">
        <w:rPr>
          <w:sz w:val="24"/>
        </w:rPr>
        <w:t xml:space="preserve"> Of the total emissions attributable to </w:t>
      </w:r>
      <w:r w:rsidR="00344F9C">
        <w:rPr>
          <w:sz w:val="24"/>
        </w:rPr>
        <w:t xml:space="preserve">buildings, electricity use was responsible for 75.8%, with natural gas usage providing the remainder. With this in mind, focusing on electricity usage of Town facilities would be </w:t>
      </w:r>
      <w:r w:rsidR="007E1E13">
        <w:rPr>
          <w:sz w:val="24"/>
        </w:rPr>
        <w:t xml:space="preserve">an important </w:t>
      </w:r>
      <w:r w:rsidR="00344F9C">
        <w:rPr>
          <w:sz w:val="24"/>
        </w:rPr>
        <w:t>starting place for emissions reduction effort</w:t>
      </w:r>
      <w:r w:rsidR="007E1E13">
        <w:rPr>
          <w:sz w:val="24"/>
        </w:rPr>
        <w:t>s</w:t>
      </w:r>
      <w:r w:rsidR="00344F9C">
        <w:rPr>
          <w:sz w:val="24"/>
        </w:rPr>
        <w:t>.</w:t>
      </w:r>
    </w:p>
    <w:p w14:paraId="2A81553C" w14:textId="77777777" w:rsidR="00024DEA" w:rsidRDefault="00024DEA" w:rsidP="0080266D">
      <w:pPr>
        <w:tabs>
          <w:tab w:val="left" w:pos="9000"/>
        </w:tabs>
        <w:rPr>
          <w:sz w:val="24"/>
        </w:rPr>
      </w:pPr>
    </w:p>
    <w:p w14:paraId="1F57B99C" w14:textId="69089365" w:rsidR="00024DEA" w:rsidRDefault="004E501A" w:rsidP="0080266D">
      <w:pPr>
        <w:tabs>
          <w:tab w:val="left" w:pos="9000"/>
        </w:tabs>
        <w:rPr>
          <w:sz w:val="24"/>
        </w:rPr>
      </w:pPr>
      <w:r>
        <w:rPr>
          <w:sz w:val="24"/>
        </w:rPr>
        <w:t xml:space="preserve">Given the uncertainty surrounding the EPA’s Clean Power Plan and the recommendations for utility emissions reduction it contains, it is hard to predict how utility emissions resulting from electricity generation will perform in the future. If current trends are followed, then it stands to reason that emissions will be gradually reduced as cleaner fuels replace more emissions-intensive fuels on the grid. </w:t>
      </w:r>
      <w:r w:rsidR="00024DEA">
        <w:rPr>
          <w:sz w:val="24"/>
        </w:rPr>
        <w:t xml:space="preserve">This means that if the Town takes no action, electricity emissions may be reduced considerably, but this does not address the </w:t>
      </w:r>
      <w:r w:rsidR="007E1E13">
        <w:rPr>
          <w:sz w:val="24"/>
        </w:rPr>
        <w:t xml:space="preserve">aspect </w:t>
      </w:r>
      <w:r w:rsidR="00024DEA">
        <w:rPr>
          <w:sz w:val="24"/>
        </w:rPr>
        <w:t>of usage. Overall Town electricity usage has been rising at an average rate of 9,110kWh per year since 2007, and although the increase is small relative to the total amount used, it still shows that efforts</w:t>
      </w:r>
      <w:r w:rsidR="007E1E13">
        <w:rPr>
          <w:sz w:val="24"/>
        </w:rPr>
        <w:t xml:space="preserve"> to reduce electricity use have not been successful</w:t>
      </w:r>
      <w:r w:rsidR="00024DEA">
        <w:rPr>
          <w:sz w:val="24"/>
        </w:rPr>
        <w:t xml:space="preserve">. The Town’s electricity usage compared to the resulting emissions is shown in Figure </w:t>
      </w:r>
      <w:r w:rsidR="00833918">
        <w:rPr>
          <w:sz w:val="24"/>
        </w:rPr>
        <w:t>7</w:t>
      </w:r>
      <w:r w:rsidR="00024DEA">
        <w:rPr>
          <w:sz w:val="24"/>
        </w:rPr>
        <w:t>.</w:t>
      </w:r>
    </w:p>
    <w:p w14:paraId="4B2CC0F1" w14:textId="77777777" w:rsidR="00833918" w:rsidRDefault="00833918" w:rsidP="0080266D">
      <w:pPr>
        <w:tabs>
          <w:tab w:val="left" w:pos="9000"/>
        </w:tabs>
        <w:rPr>
          <w:b/>
          <w:sz w:val="24"/>
        </w:rPr>
      </w:pPr>
    </w:p>
    <w:p w14:paraId="565B074D" w14:textId="129A302C" w:rsidR="00833918" w:rsidRDefault="00833918" w:rsidP="00833918">
      <w:pPr>
        <w:tabs>
          <w:tab w:val="left" w:pos="9000"/>
        </w:tabs>
        <w:jc w:val="center"/>
        <w:rPr>
          <w:sz w:val="24"/>
        </w:rPr>
      </w:pPr>
      <w:r>
        <w:rPr>
          <w:b/>
          <w:sz w:val="24"/>
        </w:rPr>
        <w:t>Figure 6</w:t>
      </w:r>
    </w:p>
    <w:p w14:paraId="114E182B" w14:textId="498C2D55" w:rsidR="00344F9C" w:rsidRDefault="0075793B" w:rsidP="0080266D">
      <w:pPr>
        <w:tabs>
          <w:tab w:val="left" w:pos="9000"/>
        </w:tabs>
        <w:jc w:val="center"/>
        <w:rPr>
          <w:sz w:val="24"/>
        </w:rPr>
      </w:pPr>
      <w:r>
        <w:rPr>
          <w:noProof/>
          <w:sz w:val="24"/>
        </w:rPr>
        <w:drawing>
          <wp:inline distT="0" distB="0" distL="0" distR="0" wp14:anchorId="21B3E681" wp14:editId="7D247B49">
            <wp:extent cx="4974994" cy="377952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84167" cy="3786489"/>
                    </a:xfrm>
                    <a:prstGeom prst="rect">
                      <a:avLst/>
                    </a:prstGeom>
                    <a:noFill/>
                    <a:ln>
                      <a:noFill/>
                    </a:ln>
                  </pic:spPr>
                </pic:pic>
              </a:graphicData>
            </a:graphic>
          </wp:inline>
        </w:drawing>
      </w:r>
    </w:p>
    <w:p w14:paraId="30CA9E4B" w14:textId="5F4432BB" w:rsidR="0075793B" w:rsidRPr="00024DEA" w:rsidRDefault="0075793B" w:rsidP="00024DEA">
      <w:pPr>
        <w:tabs>
          <w:tab w:val="left" w:pos="9000"/>
        </w:tabs>
        <w:jc w:val="center"/>
        <w:rPr>
          <w:b/>
          <w:sz w:val="24"/>
        </w:rPr>
      </w:pPr>
    </w:p>
    <w:p w14:paraId="682769D4" w14:textId="1F69A748" w:rsidR="0075793B" w:rsidRDefault="00833918" w:rsidP="00833918">
      <w:pPr>
        <w:tabs>
          <w:tab w:val="left" w:pos="9000"/>
        </w:tabs>
        <w:jc w:val="center"/>
        <w:rPr>
          <w:sz w:val="24"/>
        </w:rPr>
      </w:pPr>
      <w:r>
        <w:rPr>
          <w:b/>
          <w:sz w:val="24"/>
        </w:rPr>
        <w:t>Figure 7</w:t>
      </w:r>
    </w:p>
    <w:p w14:paraId="1F13A509" w14:textId="6293548C" w:rsidR="008045DE" w:rsidRDefault="0075793B" w:rsidP="0080266D">
      <w:pPr>
        <w:tabs>
          <w:tab w:val="left" w:pos="9000"/>
        </w:tabs>
        <w:jc w:val="center"/>
        <w:rPr>
          <w:sz w:val="24"/>
        </w:rPr>
      </w:pPr>
      <w:r>
        <w:rPr>
          <w:noProof/>
          <w:sz w:val="24"/>
        </w:rPr>
        <w:drawing>
          <wp:inline distT="0" distB="0" distL="0" distR="0" wp14:anchorId="1275323E" wp14:editId="335A612D">
            <wp:extent cx="5542736" cy="2989337"/>
            <wp:effectExtent l="0" t="0" r="0" b="8255"/>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43668" cy="2989840"/>
                    </a:xfrm>
                    <a:prstGeom prst="rect">
                      <a:avLst/>
                    </a:prstGeom>
                    <a:noFill/>
                    <a:ln>
                      <a:noFill/>
                    </a:ln>
                  </pic:spPr>
                </pic:pic>
              </a:graphicData>
            </a:graphic>
          </wp:inline>
        </w:drawing>
      </w:r>
    </w:p>
    <w:p w14:paraId="43E6239E" w14:textId="49675A9F" w:rsidR="00F43E0B" w:rsidRDefault="00F43E0B" w:rsidP="00CB20ED">
      <w:pPr>
        <w:tabs>
          <w:tab w:val="left" w:pos="9000"/>
        </w:tabs>
        <w:jc w:val="center"/>
        <w:rPr>
          <w:b/>
          <w:sz w:val="24"/>
        </w:rPr>
      </w:pPr>
    </w:p>
    <w:p w14:paraId="128326E7" w14:textId="77777777" w:rsidR="00943DC2" w:rsidRPr="00CB20ED" w:rsidRDefault="00943DC2" w:rsidP="00CB20ED">
      <w:pPr>
        <w:tabs>
          <w:tab w:val="left" w:pos="9000"/>
        </w:tabs>
        <w:jc w:val="center"/>
        <w:rPr>
          <w:b/>
          <w:sz w:val="24"/>
        </w:rPr>
      </w:pPr>
    </w:p>
    <w:p w14:paraId="361CCAF3" w14:textId="2606FA13" w:rsidR="00943DC2" w:rsidRDefault="00774EE5" w:rsidP="0080266D">
      <w:pPr>
        <w:tabs>
          <w:tab w:val="left" w:pos="9000"/>
        </w:tabs>
        <w:rPr>
          <w:sz w:val="24"/>
        </w:rPr>
      </w:pPr>
      <w:r>
        <w:rPr>
          <w:sz w:val="24"/>
        </w:rPr>
        <w:t>Given the importance of electricity in the overall footprint</w:t>
      </w:r>
      <w:r w:rsidR="00943DC2">
        <w:rPr>
          <w:sz w:val="24"/>
        </w:rPr>
        <w:t>, the</w:t>
      </w:r>
      <w:r>
        <w:rPr>
          <w:sz w:val="24"/>
        </w:rPr>
        <w:t xml:space="preserve"> uncertainty in the degree to which carbon intensity from the generation of electricity will continue to decrease</w:t>
      </w:r>
      <w:r w:rsidR="00943DC2">
        <w:rPr>
          <w:sz w:val="24"/>
        </w:rPr>
        <w:t>, the</w:t>
      </w:r>
      <w:r>
        <w:rPr>
          <w:sz w:val="24"/>
        </w:rPr>
        <w:t xml:space="preserve"> slightly increasing trend in electricity use over the last decade</w:t>
      </w:r>
      <w:r w:rsidR="00943DC2">
        <w:rPr>
          <w:sz w:val="24"/>
        </w:rPr>
        <w:t>,</w:t>
      </w:r>
      <w:r>
        <w:rPr>
          <w:sz w:val="24"/>
        </w:rPr>
        <w:t xml:space="preserve"> and </w:t>
      </w:r>
      <w:r w:rsidR="00943DC2">
        <w:rPr>
          <w:sz w:val="24"/>
        </w:rPr>
        <w:t xml:space="preserve">the </w:t>
      </w:r>
      <w:r>
        <w:rPr>
          <w:sz w:val="24"/>
        </w:rPr>
        <w:t xml:space="preserve">50% </w:t>
      </w:r>
      <w:r w:rsidR="008D674A">
        <w:rPr>
          <w:sz w:val="24"/>
        </w:rPr>
        <w:t xml:space="preserve">per capita </w:t>
      </w:r>
      <w:r w:rsidR="006F10D3">
        <w:rPr>
          <w:sz w:val="24"/>
        </w:rPr>
        <w:t xml:space="preserve">emissions </w:t>
      </w:r>
      <w:r>
        <w:rPr>
          <w:sz w:val="24"/>
        </w:rPr>
        <w:t xml:space="preserve">reduction goal by 2025, it is apparent that continued diligence </w:t>
      </w:r>
      <w:r w:rsidR="0098373E">
        <w:rPr>
          <w:sz w:val="24"/>
        </w:rPr>
        <w:t xml:space="preserve">is needed </w:t>
      </w:r>
      <w:r>
        <w:rPr>
          <w:sz w:val="24"/>
        </w:rPr>
        <w:t xml:space="preserve">to reduce </w:t>
      </w:r>
      <w:r w:rsidR="0098373E">
        <w:rPr>
          <w:sz w:val="24"/>
        </w:rPr>
        <w:t>the use of electricity</w:t>
      </w:r>
      <w:r>
        <w:rPr>
          <w:sz w:val="24"/>
        </w:rPr>
        <w:t xml:space="preserve">. </w:t>
      </w:r>
      <w:r w:rsidR="00AE710E">
        <w:rPr>
          <w:sz w:val="24"/>
        </w:rPr>
        <w:t xml:space="preserve">For example, planning for </w:t>
      </w:r>
      <w:r w:rsidR="00015D4B">
        <w:rPr>
          <w:sz w:val="24"/>
        </w:rPr>
        <w:t xml:space="preserve">facilities renovations </w:t>
      </w:r>
      <w:r w:rsidR="00AE710E">
        <w:rPr>
          <w:sz w:val="24"/>
        </w:rPr>
        <w:t xml:space="preserve">following on </w:t>
      </w:r>
      <w:r w:rsidR="00015D4B">
        <w:rPr>
          <w:sz w:val="24"/>
        </w:rPr>
        <w:t>the recent Space Needs study</w:t>
      </w:r>
      <w:r w:rsidR="00AE710E">
        <w:rPr>
          <w:sz w:val="24"/>
        </w:rPr>
        <w:t xml:space="preserve"> should </w:t>
      </w:r>
      <w:r w:rsidR="007E1E13">
        <w:rPr>
          <w:sz w:val="24"/>
        </w:rPr>
        <w:t>consider</w:t>
      </w:r>
      <w:r w:rsidR="006F10D3">
        <w:rPr>
          <w:sz w:val="24"/>
        </w:rPr>
        <w:t xml:space="preserve"> </w:t>
      </w:r>
      <w:r w:rsidR="00AE710E">
        <w:rPr>
          <w:sz w:val="24"/>
        </w:rPr>
        <w:t>improvements in energy efficiency.</w:t>
      </w:r>
      <w:r w:rsidR="00015D4B">
        <w:rPr>
          <w:sz w:val="24"/>
        </w:rPr>
        <w:t xml:space="preserve"> It is also worth </w:t>
      </w:r>
      <w:r w:rsidR="007E1E13">
        <w:rPr>
          <w:sz w:val="24"/>
        </w:rPr>
        <w:t xml:space="preserve">considering </w:t>
      </w:r>
      <w:r w:rsidR="00015D4B">
        <w:rPr>
          <w:sz w:val="24"/>
        </w:rPr>
        <w:t xml:space="preserve">opportunities to </w:t>
      </w:r>
      <w:r w:rsidR="007E1E13">
        <w:rPr>
          <w:sz w:val="24"/>
        </w:rPr>
        <w:t xml:space="preserve">address electricity use from streetlights such as </w:t>
      </w:r>
      <w:r w:rsidR="00AE710E">
        <w:rPr>
          <w:sz w:val="24"/>
        </w:rPr>
        <w:t xml:space="preserve">LED </w:t>
      </w:r>
      <w:r w:rsidR="007E1E13">
        <w:rPr>
          <w:sz w:val="24"/>
        </w:rPr>
        <w:t>retrofits</w:t>
      </w:r>
      <w:r w:rsidR="0093499C">
        <w:rPr>
          <w:sz w:val="24"/>
        </w:rPr>
        <w:t>.</w:t>
      </w:r>
      <w:r w:rsidR="0093499C" w:rsidRPr="0093499C">
        <w:rPr>
          <w:sz w:val="24"/>
          <w:szCs w:val="24"/>
        </w:rPr>
        <w:t xml:space="preserve"> </w:t>
      </w:r>
      <w:r w:rsidR="0093499C">
        <w:rPr>
          <w:sz w:val="24"/>
          <w:szCs w:val="24"/>
        </w:rPr>
        <w:t>The 2014 Energy and Climate Action plan identified LED streetlight retrofits as a priority action because of the potential to reduce emissions by 5-10% from this single action. A regulatory decision that created an unfavorable rate structure created a barrier to pursuit of LED retrofits.</w:t>
      </w:r>
    </w:p>
    <w:p w14:paraId="43AE165D" w14:textId="77777777" w:rsidR="00A51C46" w:rsidRDefault="00A51C46" w:rsidP="0080266D">
      <w:pPr>
        <w:tabs>
          <w:tab w:val="left" w:pos="9000"/>
        </w:tabs>
        <w:rPr>
          <w:sz w:val="24"/>
          <w:szCs w:val="24"/>
        </w:rPr>
      </w:pPr>
    </w:p>
    <w:p w14:paraId="20804D94" w14:textId="0EEBD4F8" w:rsidR="00335AF3" w:rsidRPr="00943DC2" w:rsidRDefault="006F10D3" w:rsidP="0080266D">
      <w:pPr>
        <w:tabs>
          <w:tab w:val="left" w:pos="9000"/>
        </w:tabs>
        <w:rPr>
          <w:i/>
          <w:sz w:val="24"/>
          <w:szCs w:val="24"/>
        </w:rPr>
      </w:pPr>
      <w:r w:rsidRPr="00774385">
        <w:rPr>
          <w:i/>
          <w:sz w:val="24"/>
          <w:szCs w:val="24"/>
        </w:rPr>
        <w:t xml:space="preserve">Renewable Energy Generation </w:t>
      </w:r>
    </w:p>
    <w:p w14:paraId="1FEE1B1D" w14:textId="77777777" w:rsidR="003C6052" w:rsidRDefault="003C6052" w:rsidP="0080266D">
      <w:pPr>
        <w:tabs>
          <w:tab w:val="left" w:pos="9000"/>
        </w:tabs>
        <w:rPr>
          <w:sz w:val="24"/>
          <w:szCs w:val="24"/>
        </w:rPr>
      </w:pPr>
    </w:p>
    <w:p w14:paraId="2D1DB6C9" w14:textId="46D4BE11" w:rsidR="006F10D3" w:rsidRDefault="006F10D3" w:rsidP="0080266D">
      <w:pPr>
        <w:tabs>
          <w:tab w:val="left" w:pos="9000"/>
        </w:tabs>
        <w:rPr>
          <w:sz w:val="24"/>
          <w:szCs w:val="24"/>
        </w:rPr>
      </w:pPr>
      <w:r>
        <w:rPr>
          <w:sz w:val="24"/>
          <w:szCs w:val="24"/>
        </w:rPr>
        <w:t xml:space="preserve">The other aspect of electricity that relates to greenhouse gas emissions is on the generation side, with renewable energy generation providing a significant and accelerating mitigation opportunity, due to the </w:t>
      </w:r>
      <w:r w:rsidR="007E1E13">
        <w:rPr>
          <w:sz w:val="24"/>
          <w:szCs w:val="24"/>
        </w:rPr>
        <w:t xml:space="preserve">increasingly favorable </w:t>
      </w:r>
      <w:r>
        <w:rPr>
          <w:sz w:val="24"/>
          <w:szCs w:val="24"/>
        </w:rPr>
        <w:t>economics of solar electricity generation.</w:t>
      </w:r>
      <w:r w:rsidR="007E1E13">
        <w:rPr>
          <w:sz w:val="24"/>
          <w:szCs w:val="24"/>
        </w:rPr>
        <w:t xml:space="preserve">  </w:t>
      </w:r>
      <w:r w:rsidR="00036A42">
        <w:rPr>
          <w:sz w:val="24"/>
          <w:szCs w:val="24"/>
        </w:rPr>
        <w:t>A recent step that the Town has taken is to participate in the U.S. Department of Energy SolSmart program which focuses on addressing and reducing the “soft costs” that local governments have some ability to influence for new solar electric installations. The Town has recently received SolSmart “Bronze” status, and may be eligible for higher levels of designation.</w:t>
      </w:r>
      <w:r w:rsidR="00774385">
        <w:rPr>
          <w:sz w:val="24"/>
          <w:szCs w:val="24"/>
        </w:rPr>
        <w:t xml:space="preserve">  </w:t>
      </w:r>
      <w:r w:rsidR="007E1E13">
        <w:rPr>
          <w:sz w:val="24"/>
          <w:szCs w:val="24"/>
        </w:rPr>
        <w:t xml:space="preserve">As part of participation in the SolSmart initiative, the NC Clean Energy Technology Center completed a detailed site analysis for photovoltaic installations at </w:t>
      </w:r>
      <w:r w:rsidR="00EC6942">
        <w:rPr>
          <w:sz w:val="24"/>
          <w:szCs w:val="24"/>
        </w:rPr>
        <w:t xml:space="preserve">the Century Center and both fire stations.  A total of </w:t>
      </w:r>
      <w:r w:rsidR="00C30081">
        <w:rPr>
          <w:sz w:val="24"/>
          <w:szCs w:val="24"/>
        </w:rPr>
        <w:t>about 100</w:t>
      </w:r>
      <w:r w:rsidR="00EC6942">
        <w:rPr>
          <w:sz w:val="24"/>
          <w:szCs w:val="24"/>
        </w:rPr>
        <w:t xml:space="preserve">kW of capacity could conceivably be installed on these facilities, at a cost of </w:t>
      </w:r>
      <w:r w:rsidR="00C30081">
        <w:rPr>
          <w:sz w:val="24"/>
          <w:szCs w:val="24"/>
        </w:rPr>
        <w:t xml:space="preserve">about </w:t>
      </w:r>
      <w:r w:rsidR="00EC6942">
        <w:rPr>
          <w:sz w:val="24"/>
          <w:szCs w:val="24"/>
        </w:rPr>
        <w:t>$</w:t>
      </w:r>
      <w:r w:rsidR="00C30081">
        <w:rPr>
          <w:sz w:val="24"/>
          <w:szCs w:val="24"/>
        </w:rPr>
        <w:t>195k</w:t>
      </w:r>
      <w:r w:rsidR="009005DB">
        <w:rPr>
          <w:sz w:val="24"/>
          <w:szCs w:val="24"/>
        </w:rPr>
        <w:t>.</w:t>
      </w:r>
      <w:r w:rsidR="00A0144B">
        <w:rPr>
          <w:rStyle w:val="FootnoteReference"/>
          <w:sz w:val="24"/>
          <w:szCs w:val="24"/>
        </w:rPr>
        <w:footnoteReference w:customMarkFollows="1" w:id="3"/>
        <w:t>6</w:t>
      </w:r>
      <w:r w:rsidR="009005DB">
        <w:rPr>
          <w:sz w:val="24"/>
          <w:szCs w:val="24"/>
        </w:rPr>
        <w:t xml:space="preserve"> </w:t>
      </w:r>
    </w:p>
    <w:p w14:paraId="565C6BCD" w14:textId="67FA16B5" w:rsidR="006F10D3" w:rsidRDefault="006F10D3" w:rsidP="0080266D">
      <w:pPr>
        <w:tabs>
          <w:tab w:val="left" w:pos="9000"/>
        </w:tabs>
        <w:rPr>
          <w:sz w:val="24"/>
          <w:szCs w:val="24"/>
        </w:rPr>
      </w:pPr>
      <w:r>
        <w:rPr>
          <w:sz w:val="24"/>
          <w:szCs w:val="24"/>
        </w:rPr>
        <w:t xml:space="preserve"> </w:t>
      </w:r>
    </w:p>
    <w:p w14:paraId="006517A5" w14:textId="77777777" w:rsidR="00DC61F2" w:rsidRDefault="00DC61F2" w:rsidP="0080266D">
      <w:pPr>
        <w:tabs>
          <w:tab w:val="left" w:pos="9000"/>
        </w:tabs>
        <w:rPr>
          <w:sz w:val="24"/>
          <w:szCs w:val="24"/>
        </w:rPr>
      </w:pPr>
    </w:p>
    <w:p w14:paraId="6F3E5607" w14:textId="3BCEDDDE" w:rsidR="004F04FB" w:rsidRDefault="006F10D3" w:rsidP="0080266D">
      <w:pPr>
        <w:tabs>
          <w:tab w:val="left" w:pos="9000"/>
        </w:tabs>
        <w:rPr>
          <w:sz w:val="24"/>
          <w:szCs w:val="24"/>
        </w:rPr>
      </w:pPr>
      <w:r>
        <w:rPr>
          <w:sz w:val="24"/>
          <w:szCs w:val="24"/>
        </w:rPr>
        <w:t xml:space="preserve">According to data from the North Carolina Sustainable Energy Association, approximately 400kW of </w:t>
      </w:r>
      <w:r w:rsidR="00EC6942">
        <w:rPr>
          <w:sz w:val="24"/>
          <w:szCs w:val="24"/>
        </w:rPr>
        <w:t xml:space="preserve">residential and commercial </w:t>
      </w:r>
      <w:r>
        <w:rPr>
          <w:sz w:val="24"/>
          <w:szCs w:val="24"/>
        </w:rPr>
        <w:t>solar electric generation has been installed in Carrboro to date</w:t>
      </w:r>
      <w:r w:rsidR="001E401E">
        <w:rPr>
          <w:sz w:val="24"/>
          <w:szCs w:val="24"/>
        </w:rPr>
        <w:t>.</w:t>
      </w:r>
      <w:r w:rsidR="00421EB6">
        <w:rPr>
          <w:sz w:val="24"/>
          <w:szCs w:val="24"/>
        </w:rPr>
        <w:t xml:space="preserve"> </w:t>
      </w:r>
      <w:r w:rsidR="001E401E">
        <w:rPr>
          <w:sz w:val="24"/>
          <w:szCs w:val="24"/>
        </w:rPr>
        <w:t>A</w:t>
      </w:r>
      <w:r w:rsidR="00421EB6">
        <w:rPr>
          <w:sz w:val="24"/>
          <w:szCs w:val="24"/>
        </w:rPr>
        <w:t xml:space="preserve">ssuming that those systems produce electricity at the same </w:t>
      </w:r>
      <w:r w:rsidR="00E510A7">
        <w:rPr>
          <w:sz w:val="24"/>
          <w:szCs w:val="24"/>
        </w:rPr>
        <w:t xml:space="preserve">average monthly </w:t>
      </w:r>
      <w:r w:rsidR="00421EB6">
        <w:rPr>
          <w:sz w:val="24"/>
          <w:szCs w:val="24"/>
        </w:rPr>
        <w:t>rate that the Town Commons system does, th</w:t>
      </w:r>
      <w:r w:rsidR="001E401E">
        <w:rPr>
          <w:sz w:val="24"/>
          <w:szCs w:val="24"/>
        </w:rPr>
        <w:t>at</w:t>
      </w:r>
      <w:r w:rsidR="00421EB6">
        <w:rPr>
          <w:sz w:val="24"/>
          <w:szCs w:val="24"/>
        </w:rPr>
        <w:t xml:space="preserve"> effort </w:t>
      </w:r>
      <w:r w:rsidR="001E401E">
        <w:rPr>
          <w:sz w:val="24"/>
          <w:szCs w:val="24"/>
        </w:rPr>
        <w:t xml:space="preserve">is </w:t>
      </w:r>
      <w:r w:rsidR="00DC61F2">
        <w:rPr>
          <w:sz w:val="24"/>
          <w:szCs w:val="24"/>
        </w:rPr>
        <w:t>produc</w:t>
      </w:r>
      <w:r w:rsidR="001E401E">
        <w:rPr>
          <w:sz w:val="24"/>
          <w:szCs w:val="24"/>
        </w:rPr>
        <w:t>ing</w:t>
      </w:r>
      <w:r w:rsidR="00DC61F2">
        <w:rPr>
          <w:sz w:val="24"/>
          <w:szCs w:val="24"/>
        </w:rPr>
        <w:t xml:space="preserve"> a</w:t>
      </w:r>
      <w:r w:rsidR="001E401E">
        <w:rPr>
          <w:sz w:val="24"/>
          <w:szCs w:val="24"/>
        </w:rPr>
        <w:t>lmost</w:t>
      </w:r>
      <w:r w:rsidR="00DC61F2">
        <w:rPr>
          <w:sz w:val="24"/>
          <w:szCs w:val="24"/>
        </w:rPr>
        <w:t xml:space="preserve"> </w:t>
      </w:r>
      <w:r>
        <w:rPr>
          <w:sz w:val="24"/>
          <w:szCs w:val="24"/>
        </w:rPr>
        <w:t>50</w:t>
      </w:r>
      <w:r w:rsidR="00E510A7">
        <w:rPr>
          <w:sz w:val="24"/>
          <w:szCs w:val="24"/>
        </w:rPr>
        <w:t>0,000</w:t>
      </w:r>
      <w:r w:rsidR="00DC61F2">
        <w:rPr>
          <w:sz w:val="24"/>
          <w:szCs w:val="24"/>
        </w:rPr>
        <w:t xml:space="preserve"> kWh annually, or offset</w:t>
      </w:r>
      <w:r w:rsidR="001E401E">
        <w:rPr>
          <w:sz w:val="24"/>
          <w:szCs w:val="24"/>
        </w:rPr>
        <w:t>ting</w:t>
      </w:r>
      <w:r w:rsidR="00DC61F2">
        <w:rPr>
          <w:sz w:val="24"/>
          <w:szCs w:val="24"/>
        </w:rPr>
        <w:t xml:space="preserve"> approximately </w:t>
      </w:r>
      <w:r>
        <w:rPr>
          <w:sz w:val="24"/>
          <w:szCs w:val="24"/>
        </w:rPr>
        <w:t>240</w:t>
      </w:r>
      <w:r w:rsidR="00E510A7" w:rsidRPr="00BC06B4">
        <w:rPr>
          <w:sz w:val="24"/>
          <w:szCs w:val="24"/>
        </w:rPr>
        <w:t xml:space="preserve"> </w:t>
      </w:r>
      <w:r w:rsidR="00DC61F2" w:rsidRPr="00BC06B4">
        <w:rPr>
          <w:sz w:val="24"/>
          <w:szCs w:val="24"/>
        </w:rPr>
        <w:t>MTCDE,</w:t>
      </w:r>
      <w:r w:rsidR="00BA4393" w:rsidRPr="00BC06B4">
        <w:rPr>
          <w:sz w:val="24"/>
          <w:szCs w:val="24"/>
        </w:rPr>
        <w:t xml:space="preserve"> which </w:t>
      </w:r>
      <w:r w:rsidR="00774385">
        <w:rPr>
          <w:sz w:val="24"/>
          <w:szCs w:val="24"/>
        </w:rPr>
        <w:t xml:space="preserve">by way of comparison, </w:t>
      </w:r>
      <w:r w:rsidR="00BA4393" w:rsidRPr="00BC06B4">
        <w:rPr>
          <w:sz w:val="24"/>
          <w:szCs w:val="24"/>
        </w:rPr>
        <w:t xml:space="preserve">is </w:t>
      </w:r>
      <w:r>
        <w:rPr>
          <w:sz w:val="24"/>
          <w:szCs w:val="24"/>
        </w:rPr>
        <w:t>about 15</w:t>
      </w:r>
      <w:r w:rsidR="00BA4393" w:rsidRPr="00BC06B4">
        <w:rPr>
          <w:sz w:val="24"/>
          <w:szCs w:val="24"/>
        </w:rPr>
        <w:t>%</w:t>
      </w:r>
      <w:r w:rsidR="00BA4393">
        <w:rPr>
          <w:sz w:val="24"/>
          <w:szCs w:val="24"/>
        </w:rPr>
        <w:t xml:space="preserve"> of municipal 201</w:t>
      </w:r>
      <w:r>
        <w:rPr>
          <w:sz w:val="24"/>
          <w:szCs w:val="24"/>
        </w:rPr>
        <w:t>6</w:t>
      </w:r>
      <w:r w:rsidR="00DC61F2">
        <w:rPr>
          <w:sz w:val="24"/>
          <w:szCs w:val="24"/>
        </w:rPr>
        <w:t xml:space="preserve"> emissions</w:t>
      </w:r>
      <w:r w:rsidR="001E401E">
        <w:rPr>
          <w:sz w:val="24"/>
          <w:szCs w:val="24"/>
        </w:rPr>
        <w:t xml:space="preserve">. </w:t>
      </w:r>
    </w:p>
    <w:p w14:paraId="516B62CE" w14:textId="77777777" w:rsidR="009005DB" w:rsidRDefault="009005DB" w:rsidP="009005DB">
      <w:pPr>
        <w:tabs>
          <w:tab w:val="left" w:pos="9000"/>
        </w:tabs>
        <w:rPr>
          <w:sz w:val="24"/>
          <w:szCs w:val="24"/>
        </w:rPr>
      </w:pPr>
    </w:p>
    <w:p w14:paraId="5CCA2146" w14:textId="2F4C1A85" w:rsidR="009005DB" w:rsidRDefault="009005DB" w:rsidP="009005DB">
      <w:pPr>
        <w:tabs>
          <w:tab w:val="left" w:pos="9000"/>
        </w:tabs>
        <w:rPr>
          <w:sz w:val="24"/>
          <w:szCs w:val="24"/>
        </w:rPr>
      </w:pPr>
      <w:r>
        <w:rPr>
          <w:sz w:val="24"/>
          <w:szCs w:val="24"/>
        </w:rPr>
        <w:t>The 5kW solar photovoltaic (PV) system that was installed on the south-facing roof of the market stalls at the Carrboro Town Commons has now been producing electricity since February 2013. As of the end of April 2017, the system had cumulatively produced 25,774 kWh, which means that 10.0 MTCDE of emissions</w:t>
      </w:r>
      <w:r w:rsidR="00B94795">
        <w:rPr>
          <w:sz w:val="24"/>
          <w:szCs w:val="24"/>
        </w:rPr>
        <w:t xml:space="preserve">, </w:t>
      </w:r>
      <w:r>
        <w:rPr>
          <w:sz w:val="24"/>
          <w:szCs w:val="24"/>
        </w:rPr>
        <w:t>or 0.6% of the Town’s 2016 total</w:t>
      </w:r>
      <w:r w:rsidR="00B94795">
        <w:rPr>
          <w:sz w:val="24"/>
          <w:szCs w:val="24"/>
        </w:rPr>
        <w:t>,</w:t>
      </w:r>
      <w:r>
        <w:rPr>
          <w:sz w:val="24"/>
          <w:szCs w:val="24"/>
        </w:rPr>
        <w:t xml:space="preserve"> has been offset by the project over its lifetime to date. The system has been successful in making the Town Commons a net producer of electricity for the majority of the year each year since 2013. </w:t>
      </w:r>
    </w:p>
    <w:p w14:paraId="0B3681D3" w14:textId="77777777" w:rsidR="004F04FB" w:rsidRDefault="004F04FB" w:rsidP="0080266D">
      <w:pPr>
        <w:tabs>
          <w:tab w:val="left" w:pos="9000"/>
        </w:tabs>
        <w:rPr>
          <w:sz w:val="24"/>
          <w:szCs w:val="24"/>
        </w:rPr>
      </w:pPr>
    </w:p>
    <w:p w14:paraId="004607DB" w14:textId="3E2CFCC2" w:rsidR="006F10D3" w:rsidRDefault="00EC6942" w:rsidP="0080266D">
      <w:pPr>
        <w:tabs>
          <w:tab w:val="left" w:pos="9000"/>
        </w:tabs>
        <w:rPr>
          <w:sz w:val="24"/>
          <w:szCs w:val="24"/>
        </w:rPr>
      </w:pPr>
      <w:r>
        <w:rPr>
          <w:sz w:val="24"/>
          <w:szCs w:val="24"/>
        </w:rPr>
        <w:t xml:space="preserve">Finally, </w:t>
      </w:r>
      <w:r w:rsidR="00802FA4">
        <w:rPr>
          <w:sz w:val="24"/>
          <w:szCs w:val="24"/>
        </w:rPr>
        <w:t xml:space="preserve">given the contribution to emissions from the vehicle fleet, it will be important to identify and pursue </w:t>
      </w:r>
      <w:r>
        <w:rPr>
          <w:sz w:val="24"/>
          <w:szCs w:val="24"/>
        </w:rPr>
        <w:t xml:space="preserve">opportunities for emissions reductions through both technological upgrades to lower emissions vehicles </w:t>
      </w:r>
      <w:r w:rsidR="00802FA4">
        <w:rPr>
          <w:sz w:val="24"/>
          <w:szCs w:val="24"/>
        </w:rPr>
        <w:t xml:space="preserve">and potentially </w:t>
      </w:r>
      <w:r>
        <w:rPr>
          <w:sz w:val="24"/>
          <w:szCs w:val="24"/>
        </w:rPr>
        <w:t>in miles driven through changes in vehicle use</w:t>
      </w:r>
      <w:r w:rsidR="00802FA4">
        <w:rPr>
          <w:sz w:val="24"/>
          <w:szCs w:val="24"/>
        </w:rPr>
        <w:t xml:space="preserve"> as well</w:t>
      </w:r>
      <w:r>
        <w:rPr>
          <w:sz w:val="24"/>
          <w:szCs w:val="24"/>
        </w:rPr>
        <w:t>.  Identifying opportunities will require further analysis.</w:t>
      </w:r>
    </w:p>
    <w:p w14:paraId="19A817D4" w14:textId="77777777" w:rsidR="006F10D3" w:rsidRPr="00335AF3" w:rsidRDefault="006F10D3" w:rsidP="0080266D">
      <w:pPr>
        <w:tabs>
          <w:tab w:val="left" w:pos="9000"/>
        </w:tabs>
        <w:rPr>
          <w:sz w:val="24"/>
          <w:szCs w:val="24"/>
        </w:rPr>
      </w:pPr>
    </w:p>
    <w:p w14:paraId="359BF2D1" w14:textId="27F027FF" w:rsidR="00EF3E22" w:rsidRDefault="00EC34D7" w:rsidP="0080266D">
      <w:pPr>
        <w:tabs>
          <w:tab w:val="left" w:pos="9000"/>
        </w:tabs>
        <w:rPr>
          <w:sz w:val="24"/>
          <w:szCs w:val="24"/>
        </w:rPr>
      </w:pPr>
      <w:r>
        <w:rPr>
          <w:b/>
          <w:sz w:val="24"/>
          <w:szCs w:val="24"/>
          <w:u w:val="single"/>
        </w:rPr>
        <w:t xml:space="preserve">Conclusion and </w:t>
      </w:r>
      <w:r w:rsidR="00EF3E22">
        <w:rPr>
          <w:b/>
          <w:sz w:val="24"/>
          <w:szCs w:val="24"/>
          <w:u w:val="single"/>
        </w:rPr>
        <w:t>Recommendation</w:t>
      </w:r>
    </w:p>
    <w:p w14:paraId="3ABF0475" w14:textId="77777777" w:rsidR="00EF3E22" w:rsidRDefault="00EF3E22" w:rsidP="0080266D">
      <w:pPr>
        <w:tabs>
          <w:tab w:val="left" w:pos="9000"/>
        </w:tabs>
        <w:rPr>
          <w:sz w:val="24"/>
          <w:szCs w:val="24"/>
        </w:rPr>
      </w:pPr>
    </w:p>
    <w:p w14:paraId="1D496110" w14:textId="017D6D6D" w:rsidR="00701946" w:rsidRDefault="009005DB" w:rsidP="0080266D">
      <w:pPr>
        <w:tabs>
          <w:tab w:val="left" w:pos="9000"/>
        </w:tabs>
        <w:rPr>
          <w:sz w:val="24"/>
          <w:szCs w:val="24"/>
        </w:rPr>
      </w:pPr>
      <w:r>
        <w:rPr>
          <w:sz w:val="24"/>
          <w:szCs w:val="24"/>
        </w:rPr>
        <w:t>In 2014, the Town developed a plan to reduce greenhouse gas emissions from Town operations.</w:t>
      </w:r>
      <w:r w:rsidRPr="00701946">
        <w:rPr>
          <w:sz w:val="24"/>
          <w:szCs w:val="24"/>
        </w:rPr>
        <w:t xml:space="preserve"> </w:t>
      </w:r>
      <w:r>
        <w:rPr>
          <w:sz w:val="24"/>
          <w:szCs w:val="24"/>
        </w:rPr>
        <w:t>Subsequently, t</w:t>
      </w:r>
      <w:r w:rsidRPr="00701946">
        <w:rPr>
          <w:sz w:val="24"/>
          <w:szCs w:val="24"/>
        </w:rPr>
        <w:t xml:space="preserve">he inability to pursue streetlight replacement with LED lights </w:t>
      </w:r>
      <w:r>
        <w:rPr>
          <w:sz w:val="24"/>
          <w:szCs w:val="24"/>
        </w:rPr>
        <w:t>because of regulatory</w:t>
      </w:r>
      <w:r w:rsidR="00B94795">
        <w:rPr>
          <w:sz w:val="24"/>
          <w:szCs w:val="24"/>
        </w:rPr>
        <w:t xml:space="preserve"> and </w:t>
      </w:r>
      <w:r>
        <w:rPr>
          <w:sz w:val="24"/>
          <w:szCs w:val="24"/>
        </w:rPr>
        <w:t xml:space="preserve">rate structure barriers </w:t>
      </w:r>
      <w:r w:rsidRPr="00701946">
        <w:rPr>
          <w:sz w:val="24"/>
          <w:szCs w:val="24"/>
        </w:rPr>
        <w:t>ha</w:t>
      </w:r>
      <w:r w:rsidR="00833918">
        <w:rPr>
          <w:sz w:val="24"/>
          <w:szCs w:val="24"/>
        </w:rPr>
        <w:t>s</w:t>
      </w:r>
      <w:r w:rsidRPr="00701946">
        <w:rPr>
          <w:sz w:val="24"/>
          <w:szCs w:val="24"/>
        </w:rPr>
        <w:t xml:space="preserve"> </w:t>
      </w:r>
      <w:r>
        <w:rPr>
          <w:sz w:val="24"/>
          <w:szCs w:val="24"/>
        </w:rPr>
        <w:t xml:space="preserve">hampered efforts to </w:t>
      </w:r>
      <w:r w:rsidRPr="00701946">
        <w:rPr>
          <w:sz w:val="24"/>
          <w:szCs w:val="24"/>
        </w:rPr>
        <w:t xml:space="preserve">achieve </w:t>
      </w:r>
      <w:r>
        <w:rPr>
          <w:sz w:val="24"/>
          <w:szCs w:val="24"/>
        </w:rPr>
        <w:t xml:space="preserve">emissions reductions goals. Nevertheless, some reductions have been achieved, as discussed in this memo. </w:t>
      </w:r>
      <w:bookmarkStart w:id="1" w:name="_GoBack"/>
      <w:r w:rsidR="00A51C46">
        <w:rPr>
          <w:sz w:val="24"/>
          <w:szCs w:val="24"/>
        </w:rPr>
        <w:t>In 2016</w:t>
      </w:r>
      <w:r w:rsidR="00B80577">
        <w:rPr>
          <w:sz w:val="24"/>
          <w:szCs w:val="24"/>
        </w:rPr>
        <w:t>, the Town’s emissions under the scope of this inventory dropped</w:t>
      </w:r>
      <w:r w:rsidR="00B80577">
        <w:rPr>
          <w:sz w:val="24"/>
        </w:rPr>
        <w:t xml:space="preserve"> </w:t>
      </w:r>
      <w:r w:rsidR="00A51C46">
        <w:rPr>
          <w:sz w:val="24"/>
        </w:rPr>
        <w:t>12.2</w:t>
      </w:r>
      <w:r w:rsidR="003253DF">
        <w:rPr>
          <w:sz w:val="24"/>
        </w:rPr>
        <w:t xml:space="preserve"> MTC</w:t>
      </w:r>
      <w:r w:rsidR="00435DE3">
        <w:rPr>
          <w:sz w:val="24"/>
        </w:rPr>
        <w:t>DE or 0.8</w:t>
      </w:r>
      <w:r w:rsidR="00A51C46">
        <w:rPr>
          <w:sz w:val="24"/>
        </w:rPr>
        <w:t xml:space="preserve">% compared to 2015 </w:t>
      </w:r>
      <w:r w:rsidR="00B80577">
        <w:rPr>
          <w:sz w:val="24"/>
        </w:rPr>
        <w:t xml:space="preserve">emissions levels, </w:t>
      </w:r>
      <w:r w:rsidR="003253DF">
        <w:rPr>
          <w:sz w:val="24"/>
        </w:rPr>
        <w:t xml:space="preserve">and have now dropped </w:t>
      </w:r>
      <w:r w:rsidR="00A51C46">
        <w:rPr>
          <w:sz w:val="24"/>
        </w:rPr>
        <w:t>203.3</w:t>
      </w:r>
      <w:r w:rsidR="003253DF">
        <w:rPr>
          <w:sz w:val="24"/>
        </w:rPr>
        <w:t xml:space="preserve"> MTCDE</w:t>
      </w:r>
      <w:r w:rsidR="00981E90">
        <w:rPr>
          <w:sz w:val="24"/>
        </w:rPr>
        <w:t xml:space="preserve"> overall</w:t>
      </w:r>
      <w:r w:rsidR="00B80577">
        <w:rPr>
          <w:sz w:val="24"/>
        </w:rPr>
        <w:t xml:space="preserve"> since the first annual GHG inventory was conducted in 2011. </w:t>
      </w:r>
      <w:bookmarkEnd w:id="1"/>
    </w:p>
    <w:p w14:paraId="0AEBD45B" w14:textId="77777777" w:rsidR="00701946" w:rsidRDefault="00701946" w:rsidP="0080266D">
      <w:pPr>
        <w:tabs>
          <w:tab w:val="left" w:pos="9000"/>
        </w:tabs>
        <w:rPr>
          <w:sz w:val="24"/>
          <w:szCs w:val="24"/>
        </w:rPr>
      </w:pPr>
    </w:p>
    <w:p w14:paraId="1E79F9B5" w14:textId="43DBABE4" w:rsidR="00CB20ED" w:rsidRPr="00CB20ED" w:rsidRDefault="00EC6942" w:rsidP="00CB20ED">
      <w:pPr>
        <w:tabs>
          <w:tab w:val="left" w:pos="9000"/>
        </w:tabs>
        <w:rPr>
          <w:sz w:val="24"/>
          <w:szCs w:val="24"/>
        </w:rPr>
      </w:pPr>
      <w:r>
        <w:rPr>
          <w:sz w:val="24"/>
          <w:szCs w:val="24"/>
        </w:rPr>
        <w:t>Based on the information contained in this inventor</w:t>
      </w:r>
      <w:r w:rsidR="00036A42">
        <w:rPr>
          <w:sz w:val="24"/>
          <w:szCs w:val="24"/>
        </w:rPr>
        <w:t>y</w:t>
      </w:r>
      <w:r>
        <w:rPr>
          <w:sz w:val="24"/>
          <w:szCs w:val="24"/>
        </w:rPr>
        <w:t xml:space="preserve">, it is </w:t>
      </w:r>
      <w:r w:rsidR="00036A42">
        <w:rPr>
          <w:sz w:val="24"/>
          <w:szCs w:val="24"/>
        </w:rPr>
        <w:t>apparent</w:t>
      </w:r>
      <w:r>
        <w:rPr>
          <w:sz w:val="24"/>
          <w:szCs w:val="24"/>
        </w:rPr>
        <w:t xml:space="preserve"> that continued and coordinated effort is needed to </w:t>
      </w:r>
      <w:r w:rsidR="001D0DE0">
        <w:rPr>
          <w:sz w:val="24"/>
          <w:szCs w:val="24"/>
        </w:rPr>
        <w:t xml:space="preserve">further </w:t>
      </w:r>
      <w:r>
        <w:rPr>
          <w:sz w:val="24"/>
          <w:szCs w:val="24"/>
        </w:rPr>
        <w:t xml:space="preserve">reduce emissions from Town operations.  </w:t>
      </w:r>
      <w:r w:rsidR="00EC34D7">
        <w:rPr>
          <w:sz w:val="24"/>
          <w:szCs w:val="24"/>
        </w:rPr>
        <w:t>It is recommended that the Town use the information provided in this report</w:t>
      </w:r>
      <w:r w:rsidR="001D0DE0">
        <w:rPr>
          <w:sz w:val="24"/>
          <w:szCs w:val="24"/>
        </w:rPr>
        <w:t>,</w:t>
      </w:r>
      <w:r w:rsidR="00EC34D7">
        <w:rPr>
          <w:sz w:val="24"/>
          <w:szCs w:val="24"/>
        </w:rPr>
        <w:t xml:space="preserve"> supporting data and analysis</w:t>
      </w:r>
      <w:r w:rsidR="001D0DE0">
        <w:rPr>
          <w:sz w:val="24"/>
          <w:szCs w:val="24"/>
        </w:rPr>
        <w:t>, and other relevant studies</w:t>
      </w:r>
      <w:r w:rsidR="00EC34D7">
        <w:rPr>
          <w:sz w:val="24"/>
          <w:szCs w:val="24"/>
        </w:rPr>
        <w:t xml:space="preserve"> to continue to identify emissions reductions opportunities, and to update the inve</w:t>
      </w:r>
      <w:r w:rsidR="003253DF">
        <w:rPr>
          <w:sz w:val="24"/>
          <w:szCs w:val="24"/>
        </w:rPr>
        <w:t>ntory in the spring of 201</w:t>
      </w:r>
      <w:r w:rsidR="00036A42">
        <w:rPr>
          <w:sz w:val="24"/>
          <w:szCs w:val="24"/>
        </w:rPr>
        <w:t>8</w:t>
      </w:r>
      <w:r w:rsidR="00655919">
        <w:rPr>
          <w:sz w:val="24"/>
          <w:szCs w:val="24"/>
        </w:rPr>
        <w:t>.</w:t>
      </w:r>
      <w:r w:rsidR="00EC34D7">
        <w:rPr>
          <w:sz w:val="24"/>
          <w:szCs w:val="24"/>
        </w:rPr>
        <w:t xml:space="preserve"> </w:t>
      </w:r>
      <w:r w:rsidR="00CB20ED">
        <w:rPr>
          <w:sz w:val="24"/>
          <w:szCs w:val="24"/>
        </w:rPr>
        <w:t xml:space="preserve">This will </w:t>
      </w:r>
      <w:r w:rsidR="00036A42">
        <w:rPr>
          <w:sz w:val="24"/>
          <w:szCs w:val="24"/>
        </w:rPr>
        <w:t>help</w:t>
      </w:r>
      <w:r w:rsidR="00CB20ED">
        <w:rPr>
          <w:sz w:val="24"/>
          <w:szCs w:val="24"/>
        </w:rPr>
        <w:t xml:space="preserve"> the Town </w:t>
      </w:r>
      <w:r w:rsidR="00833918">
        <w:rPr>
          <w:sz w:val="24"/>
          <w:szCs w:val="24"/>
        </w:rPr>
        <w:t xml:space="preserve">to continue to </w:t>
      </w:r>
      <w:r w:rsidR="00CB20ED">
        <w:rPr>
          <w:sz w:val="24"/>
          <w:szCs w:val="24"/>
        </w:rPr>
        <w:t>quantify progress toward its 2009 resolution</w:t>
      </w:r>
      <w:r w:rsidR="001D0DE0">
        <w:rPr>
          <w:sz w:val="24"/>
          <w:szCs w:val="24"/>
        </w:rPr>
        <w:t xml:space="preserve"> and actions identified in the 2014 Energy and Climate Plan</w:t>
      </w:r>
      <w:r w:rsidR="009005DB">
        <w:rPr>
          <w:sz w:val="24"/>
          <w:szCs w:val="24"/>
        </w:rPr>
        <w:t xml:space="preserve"> and more recent Community Climate Action Plan</w:t>
      </w:r>
      <w:r w:rsidR="001D0DE0">
        <w:rPr>
          <w:sz w:val="24"/>
          <w:szCs w:val="24"/>
        </w:rPr>
        <w:t>,</w:t>
      </w:r>
      <w:r w:rsidR="00CB20ED">
        <w:rPr>
          <w:sz w:val="24"/>
          <w:szCs w:val="24"/>
        </w:rPr>
        <w:t xml:space="preserve"> and </w:t>
      </w:r>
      <w:r w:rsidR="00774385">
        <w:rPr>
          <w:sz w:val="24"/>
          <w:szCs w:val="24"/>
        </w:rPr>
        <w:t xml:space="preserve">in general </w:t>
      </w:r>
      <w:r w:rsidR="00CB20ED">
        <w:rPr>
          <w:sz w:val="24"/>
          <w:szCs w:val="24"/>
        </w:rPr>
        <w:t>further the Town’s goals of environmental stewardship, economic sustainability, and “leading by example”.</w:t>
      </w:r>
      <w:r>
        <w:rPr>
          <w:sz w:val="24"/>
          <w:szCs w:val="24"/>
        </w:rPr>
        <w:t xml:space="preserve"> </w:t>
      </w:r>
    </w:p>
    <w:sectPr w:rsidR="00CB20ED" w:rsidRPr="00CB20ED" w:rsidSect="00A0144B">
      <w:footerReference w:type="default" r:id="rId16"/>
      <w:headerReference w:type="first" r:id="rId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3F769" w14:textId="77777777" w:rsidR="00774385" w:rsidRDefault="00774385">
      <w:r>
        <w:separator/>
      </w:r>
    </w:p>
  </w:endnote>
  <w:endnote w:type="continuationSeparator" w:id="0">
    <w:p w14:paraId="28FCDD47" w14:textId="77777777" w:rsidR="00774385" w:rsidRDefault="00774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29DE2" w14:textId="77777777" w:rsidR="00774385" w:rsidRPr="00CB7B3F" w:rsidRDefault="00774385" w:rsidP="00EF3E22">
    <w:pPr>
      <w:pStyle w:val="Footer"/>
      <w:jc w:val="center"/>
      <w:rPr>
        <w:color w:val="808080"/>
      </w:rPr>
    </w:pPr>
    <w:r>
      <w:rPr>
        <w:noProof/>
        <w:color w:val="808080"/>
      </w:rPr>
      <w:pict w14:anchorId="639A652D">
        <v:shapetype id="_x0000_t202" coordsize="21600,21600" o:spt="202" path="m,l,21600r21600,l21600,xe">
          <v:stroke joinstyle="miter"/>
          <v:path gradientshapeok="t" o:connecttype="rect"/>
        </v:shapetype>
        <v:shape id="Text Box 14" o:spid="_x0000_s2051" type="#_x0000_t202" style="position:absolute;left:0;text-align:left;margin-left:387.25pt;margin-top:-7.75pt;width:23.45pt;height:18.7pt;z-index:25166131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" stroked="f">
          <v:textbox style="mso-next-textbox:#Text Box 14;mso-fit-shape-to-text:t">
            <w:txbxContent>
              <w:p w14:paraId="19DE8D1B" w14:textId="77777777" w:rsidR="00774385" w:rsidRDefault="00774385"/>
            </w:txbxContent>
          </v:textbox>
        </v:shape>
      </w:pict>
    </w:r>
    <w:r w:rsidRPr="00CB7B3F">
      <w:rPr>
        <w:rStyle w:val="PageNumber"/>
        <w:color w:val="808080"/>
      </w:rPr>
      <w:fldChar w:fldCharType="begin"/>
    </w:r>
    <w:r w:rsidRPr="00CB7B3F">
      <w:rPr>
        <w:rStyle w:val="PageNumber"/>
        <w:color w:val="808080"/>
      </w:rPr>
      <w:instrText xml:space="preserve"> PAGE </w:instrText>
    </w:r>
    <w:r w:rsidRPr="00CB7B3F">
      <w:rPr>
        <w:rStyle w:val="PageNumber"/>
        <w:color w:val="808080"/>
      </w:rPr>
      <w:fldChar w:fldCharType="separate"/>
    </w:r>
    <w:r w:rsidR="0012093B">
      <w:rPr>
        <w:rStyle w:val="PageNumber"/>
        <w:noProof/>
        <w:color w:val="808080"/>
      </w:rPr>
      <w:t>12</w:t>
    </w:r>
    <w:r w:rsidRPr="00CB7B3F">
      <w:rPr>
        <w:rStyle w:val="PageNumber"/>
        <w:color w:val="808080"/>
      </w:rPr>
      <w:fldChar w:fldCharType="end"/>
    </w:r>
    <w:r>
      <w:rPr>
        <w:noProof/>
        <w:color w:val="808080"/>
      </w:rPr>
      <w:pict w14:anchorId="35285B52">
        <v:shape id="Text Box 12" o:spid="_x0000_s2049" type="#_x0000_t202" style="position:absolute;left:0;text-align:left;margin-left:18pt;margin-top:31.25pt;width:369pt;height:37.9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" stroked="f">
          <v:textbox style="mso-next-textbox:#Text Box 12" inset=",0,,0">
            <w:txbxContent>
              <w:p w14:paraId="3DB5F62F" w14:textId="77777777" w:rsidR="00774385" w:rsidRPr="00BF56A2" w:rsidRDefault="00774385">
                <w:pPr>
                  <w:rPr>
                    <w:rFonts w:ascii="Arial Narrow" w:hAnsi="Arial Narrow"/>
                    <w:color w:val="0042A2"/>
                    <w:sz w:val="16"/>
                    <w:szCs w:val="16"/>
                  </w:rPr>
                </w:pPr>
              </w:p>
            </w:txbxContent>
          </v:textbox>
        </v:shape>
      </w:pict>
    </w:r>
    <w:r>
      <w:rPr>
        <w:noProof/>
        <w:color w:val="808080"/>
      </w:rPr>
      <w:pict w14:anchorId="684428CF">
        <v:shape id="Text Box 13" o:spid="_x0000_s2050" type="#_x0000_t202" style="position:absolute;left:0;text-align:left;margin-left:18pt;margin-top:71.35pt;width:378pt;height:9.95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" filled="f" stroked="f">
          <v:textbox style="mso-next-textbox:#Text Box 13" inset=",0,,0">
            <w:txbxContent>
              <w:p w14:paraId="37C6D350" w14:textId="77777777" w:rsidR="00774385" w:rsidRPr="00951F93" w:rsidRDefault="00774385">
                <w:pPr>
                  <w:rPr>
                    <w:rFonts w:ascii="Arial Narrow" w:hAnsi="Arial Narrow"/>
                    <w:color w:val="0042A2"/>
                    <w:sz w:val="14"/>
                    <w:szCs w:val="14"/>
                  </w:rPr>
                </w:pPr>
                <w:r w:rsidRPr="00951F93">
                  <w:rPr>
                    <w:rFonts w:ascii="Arial Narrow" w:hAnsi="Arial Narrow"/>
                    <w:color w:val="0042A2"/>
                    <w:sz w:val="14"/>
                    <w:szCs w:val="14"/>
                  </w:rPr>
                  <w:t xml:space="preserve">An Equal Opportunity </w:t>
                </w:r>
                <w:r>
                  <w:rPr>
                    <w:rFonts w:ascii="Arial Narrow" w:hAnsi="Arial Narrow"/>
                    <w:color w:val="0042A2"/>
                    <w:sz w:val="14"/>
                    <w:szCs w:val="14"/>
                  </w:rPr>
                  <w:t xml:space="preserve">\ Affirmative Action Employer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3FFA80" w14:textId="77777777" w:rsidR="00774385" w:rsidRDefault="00774385">
      <w:r>
        <w:separator/>
      </w:r>
    </w:p>
  </w:footnote>
  <w:footnote w:type="continuationSeparator" w:id="0">
    <w:p w14:paraId="460C8FFA" w14:textId="77777777" w:rsidR="00774385" w:rsidRDefault="00774385">
      <w:r>
        <w:continuationSeparator/>
      </w:r>
    </w:p>
  </w:footnote>
  <w:footnote w:id="1">
    <w:p w14:paraId="6A6934EC" w14:textId="61202EFA" w:rsidR="00774385" w:rsidRDefault="00774385" w:rsidP="004D0F89">
      <w:pPr>
        <w:pStyle w:val="FootnoteText"/>
      </w:pPr>
      <w:r>
        <w:rPr>
          <w:rStyle w:val="FootnoteReference"/>
        </w:rPr>
        <w:footnoteRef/>
      </w:r>
      <w:r>
        <w:t xml:space="preserve"> Agudelo-Frankel, D., Beaman, B., Marshall. G., Myers, J. 2012 Greenhouse Gas Emission Inventory for the Town of Carrboro, NC. </w:t>
      </w:r>
      <w:hyperlink r:id="rId1" w:history="1">
        <w:r w:rsidRPr="00870882">
          <w:rPr>
            <w:rStyle w:val="Hyperlink"/>
          </w:rPr>
          <w:t>http://nc-carrboro.civicplus.com/DocumentCenter/Home/View/2788</w:t>
        </w:r>
      </w:hyperlink>
      <w:r>
        <w:t xml:space="preserve"> </w:t>
      </w:r>
    </w:p>
    <w:p w14:paraId="4372DA3B" w14:textId="77777777" w:rsidR="00774385" w:rsidRDefault="00774385" w:rsidP="00943DC2">
      <w:pPr>
        <w:pStyle w:val="FootnoteText"/>
      </w:pPr>
      <w:r>
        <w:rPr>
          <w:vertAlign w:val="superscript"/>
        </w:rPr>
        <w:t>2</w:t>
      </w:r>
      <w:r>
        <w:t xml:space="preserve"> All EPA eGRID reports and data are available at </w:t>
      </w:r>
      <w:hyperlink r:id="rId2" w:history="1">
        <w:r w:rsidRPr="008D4FED">
          <w:rPr>
            <w:rStyle w:val="Hyperlink"/>
          </w:rPr>
          <w:t>https://www.epa.gov/energy/emissions-generation-resource-integrated-database-egrid</w:t>
        </w:r>
      </w:hyperlink>
      <w:r>
        <w:t>.</w:t>
      </w:r>
    </w:p>
    <w:p w14:paraId="282AD3EA" w14:textId="77777777" w:rsidR="00774385" w:rsidRPr="00FF573C" w:rsidRDefault="00774385" w:rsidP="00943DC2">
      <w:pPr>
        <w:pStyle w:val="FootnoteText"/>
      </w:pPr>
      <w:r>
        <w:rPr>
          <w:vertAlign w:val="superscript"/>
        </w:rPr>
        <w:t>3</w:t>
      </w:r>
      <w:r>
        <w:t xml:space="preserve"> Conversion factors obtained from the EPA at </w:t>
      </w:r>
      <w:hyperlink r:id="rId3" w:history="1">
        <w:r w:rsidRPr="008D4FED">
          <w:rPr>
            <w:rStyle w:val="Hyperlink"/>
          </w:rPr>
          <w:t>https://www.epa.gov/energy/greenhouse-gases-equivalencies-calculator-calculations-and-references</w:t>
        </w:r>
      </w:hyperlink>
      <w:r>
        <w:t xml:space="preserve">. </w:t>
      </w:r>
    </w:p>
    <w:p w14:paraId="0EB19BBE" w14:textId="23A199AE" w:rsidR="00774385" w:rsidRDefault="00774385" w:rsidP="004D0F89">
      <w:pPr>
        <w:pStyle w:val="FootnoteText"/>
      </w:pPr>
      <w:r>
        <w:rPr>
          <w:vertAlign w:val="superscript"/>
        </w:rPr>
        <w:t>4</w:t>
      </w:r>
      <w:r>
        <w:t xml:space="preserve"> Conversion factor obtained from the U.S. Energy Information Administration (EIA) at </w:t>
      </w:r>
      <w:hyperlink r:id="rId4" w:history="1">
        <w:r w:rsidRPr="008D4FED">
          <w:rPr>
            <w:rStyle w:val="Hyperlink"/>
          </w:rPr>
          <w:t>https://www.eia.gov/tools/faqs/faq.php?id=307&amp;t=11</w:t>
        </w:r>
      </w:hyperlink>
    </w:p>
  </w:footnote>
  <w:footnote w:id="2">
    <w:p w14:paraId="0A550564" w14:textId="77777777" w:rsidR="00774385" w:rsidRDefault="00774385" w:rsidP="00C31C71">
      <w:pPr>
        <w:pStyle w:val="FootnoteText"/>
      </w:pPr>
      <w:r>
        <w:rPr>
          <w:rStyle w:val="FootnoteReference"/>
        </w:rPr>
        <w:t>5</w:t>
      </w:r>
      <w:r>
        <w:t xml:space="preserve"> </w:t>
      </w:r>
      <w:r w:rsidRPr="00195B67">
        <w:t>It is worth noting that the Town does not own its street lighting infrastructure and instead has a lease arrangement with electric utility providers.</w:t>
      </w:r>
    </w:p>
  </w:footnote>
  <w:footnote w:id="3">
    <w:p w14:paraId="0D339D64" w14:textId="376E8010" w:rsidR="00774385" w:rsidRDefault="00774385">
      <w:pPr>
        <w:pStyle w:val="FootnoteText"/>
      </w:pPr>
      <w:r>
        <w:rPr>
          <w:rStyle w:val="FootnoteReference"/>
        </w:rPr>
        <w:t>6</w:t>
      </w:r>
      <w:r>
        <w:t xml:space="preserve"> The installation on the Police Station roof appears to be the one with the best return on investment/payback of these three.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270"/>
      <w:gridCol w:w="1620"/>
      <w:gridCol w:w="1530"/>
    </w:tblGrid>
    <w:tr w:rsidR="00774385" w14:paraId="06A49538" w14:textId="77777777">
      <w:trPr>
        <w:cantSplit/>
        <w:trHeight w:val="69"/>
      </w:trPr>
      <w:tc>
        <w:tcPr>
          <w:tcW w:w="6660" w:type="dxa"/>
          <w:vMerge w:val="restart"/>
          <w:tcBorders>
            <w:top w:val="nil"/>
            <w:left w:val="nil"/>
            <w:bottom w:val="nil"/>
            <w:right w:val="nil"/>
          </w:tcBorders>
        </w:tcPr>
        <w:p w14:paraId="57BB4577" w14:textId="77777777" w:rsidR="00774385" w:rsidRDefault="00774385" w:rsidP="00EF3E22">
          <w:pPr>
            <w:pStyle w:val="Header"/>
            <w:rPr>
              <w:rFonts w:ascii="Tahoma" w:hAnsi="Tahoma"/>
              <w:b/>
            </w:rPr>
          </w:pPr>
          <w:r>
            <w:rPr>
              <w:rFonts w:ascii="Tahoma" w:hAnsi="Tahoma"/>
              <w:b/>
            </w:rPr>
            <w:t>State of North Carolina</w:t>
          </w:r>
        </w:p>
        <w:p w14:paraId="4664D1E7" w14:textId="77777777" w:rsidR="00774385" w:rsidRDefault="00774385" w:rsidP="00EF3E22">
          <w:pPr>
            <w:pStyle w:val="Header"/>
            <w:rPr>
              <w:rFonts w:ascii="Tahoma" w:hAnsi="Tahoma"/>
              <w:b/>
            </w:rPr>
          </w:pPr>
          <w:r>
            <w:rPr>
              <w:rFonts w:ascii="Tahoma" w:hAnsi="Tahoma"/>
              <w:b/>
            </w:rPr>
            <w:t>Department of Environment &amp; Natural Resources</w:t>
          </w:r>
        </w:p>
        <w:p w14:paraId="24D5656F" w14:textId="77777777" w:rsidR="00774385" w:rsidRDefault="00774385" w:rsidP="00EF3E22">
          <w:pPr>
            <w:pStyle w:val="Header"/>
          </w:pPr>
          <w:r>
            <w:rPr>
              <w:rFonts w:ascii="Tahoma" w:hAnsi="Tahoma"/>
              <w:b/>
            </w:rPr>
            <w:t>Division of Water Quality</w:t>
          </w:r>
        </w:p>
      </w:tc>
      <w:tc>
        <w:tcPr>
          <w:tcW w:w="270" w:type="dxa"/>
          <w:vMerge w:val="restart"/>
          <w:tcBorders>
            <w:top w:val="nil"/>
            <w:left w:val="nil"/>
            <w:bottom w:val="nil"/>
            <w:right w:val="nil"/>
          </w:tcBorders>
        </w:tcPr>
        <w:p w14:paraId="29A116FC" w14:textId="77777777" w:rsidR="00774385" w:rsidRDefault="00774385" w:rsidP="00EF3E22">
          <w:pPr>
            <w:pStyle w:val="Header"/>
          </w:pPr>
        </w:p>
      </w:tc>
      <w:tc>
        <w:tcPr>
          <w:tcW w:w="3150" w:type="dxa"/>
          <w:gridSpan w:val="2"/>
          <w:tcBorders>
            <w:left w:val="single" w:sz="4" w:space="0" w:color="auto"/>
          </w:tcBorders>
          <w:shd w:val="pct10" w:color="auto" w:fill="FFFFFF"/>
        </w:tcPr>
        <w:p w14:paraId="23FB9C36" w14:textId="77777777" w:rsidR="00774385" w:rsidRDefault="00774385" w:rsidP="00EF3E22">
          <w:pPr>
            <w:pStyle w:val="Header"/>
            <w:jc w:val="center"/>
            <w:rPr>
              <w:rFonts w:ascii="Tahoma" w:hAnsi="Tahoma"/>
            </w:rPr>
          </w:pPr>
          <w:r>
            <w:rPr>
              <w:rFonts w:ascii="Tahoma" w:hAnsi="Tahoma"/>
            </w:rPr>
            <w:t>OFFIC USE ONLY</w:t>
          </w:r>
        </w:p>
      </w:tc>
    </w:tr>
    <w:tr w:rsidR="00774385" w14:paraId="74423072" w14:textId="77777777">
      <w:trPr>
        <w:cantSplit/>
        <w:trHeight w:val="67"/>
      </w:trPr>
      <w:tc>
        <w:tcPr>
          <w:tcW w:w="6660" w:type="dxa"/>
          <w:vMerge/>
          <w:tcBorders>
            <w:top w:val="nil"/>
            <w:left w:val="nil"/>
            <w:bottom w:val="nil"/>
            <w:right w:val="nil"/>
          </w:tcBorders>
        </w:tcPr>
        <w:p w14:paraId="72FD3166" w14:textId="77777777" w:rsidR="00774385" w:rsidRDefault="00774385" w:rsidP="00EF3E22">
          <w:pPr>
            <w:pStyle w:val="Header"/>
          </w:pPr>
        </w:p>
      </w:tc>
      <w:tc>
        <w:tcPr>
          <w:tcW w:w="270" w:type="dxa"/>
          <w:vMerge/>
          <w:tcBorders>
            <w:top w:val="nil"/>
            <w:left w:val="nil"/>
            <w:bottom w:val="nil"/>
            <w:right w:val="nil"/>
          </w:tcBorders>
        </w:tcPr>
        <w:p w14:paraId="765D0EC3" w14:textId="77777777" w:rsidR="00774385" w:rsidRDefault="00774385" w:rsidP="00EF3E22">
          <w:pPr>
            <w:pStyle w:val="Header"/>
          </w:pPr>
        </w:p>
      </w:tc>
      <w:tc>
        <w:tcPr>
          <w:tcW w:w="1620" w:type="dxa"/>
          <w:tcBorders>
            <w:left w:val="single" w:sz="4" w:space="0" w:color="auto"/>
          </w:tcBorders>
        </w:tcPr>
        <w:p w14:paraId="6B0C40A7" w14:textId="77777777" w:rsidR="00774385" w:rsidRDefault="00774385" w:rsidP="00EF3E22">
          <w:pPr>
            <w:pStyle w:val="Header"/>
            <w:rPr>
              <w:rFonts w:ascii="Tahoma" w:hAnsi="Tahoma"/>
            </w:rPr>
          </w:pPr>
          <w:r>
            <w:rPr>
              <w:rFonts w:ascii="Tahoma" w:hAnsi="Tahoma"/>
            </w:rPr>
            <w:t>Date Rec’d</w:t>
          </w:r>
        </w:p>
      </w:tc>
      <w:tc>
        <w:tcPr>
          <w:tcW w:w="1530" w:type="dxa"/>
        </w:tcPr>
        <w:p w14:paraId="50194393" w14:textId="77777777" w:rsidR="00774385" w:rsidRDefault="00774385" w:rsidP="00EF3E22">
          <w:pPr>
            <w:pStyle w:val="Header"/>
            <w:rPr>
              <w:rFonts w:ascii="Tahoma" w:hAnsi="Tahoma"/>
            </w:rPr>
          </w:pPr>
        </w:p>
      </w:tc>
    </w:tr>
    <w:tr w:rsidR="00774385" w14:paraId="4387EF77" w14:textId="77777777">
      <w:trPr>
        <w:gridAfter w:val="2"/>
        <w:wAfter w:w="3150" w:type="dxa"/>
        <w:cantSplit/>
        <w:trHeight w:val="276"/>
      </w:trPr>
      <w:tc>
        <w:tcPr>
          <w:tcW w:w="6660" w:type="dxa"/>
          <w:vMerge/>
          <w:tcBorders>
            <w:top w:val="nil"/>
            <w:left w:val="nil"/>
            <w:bottom w:val="nil"/>
            <w:right w:val="nil"/>
          </w:tcBorders>
        </w:tcPr>
        <w:p w14:paraId="2A4981A6" w14:textId="77777777" w:rsidR="00774385" w:rsidRDefault="00774385" w:rsidP="00EF3E22">
          <w:pPr>
            <w:pStyle w:val="Header"/>
          </w:pPr>
        </w:p>
      </w:tc>
      <w:tc>
        <w:tcPr>
          <w:tcW w:w="270" w:type="dxa"/>
          <w:vMerge/>
          <w:tcBorders>
            <w:top w:val="nil"/>
            <w:left w:val="nil"/>
            <w:bottom w:val="nil"/>
            <w:right w:val="nil"/>
          </w:tcBorders>
        </w:tcPr>
        <w:p w14:paraId="60FF7713" w14:textId="77777777" w:rsidR="00774385" w:rsidRDefault="00774385" w:rsidP="00EF3E22">
          <w:pPr>
            <w:pStyle w:val="Header"/>
          </w:pPr>
        </w:p>
      </w:tc>
    </w:tr>
    <w:tr w:rsidR="00774385" w14:paraId="010684FB" w14:textId="77777777">
      <w:trPr>
        <w:gridAfter w:val="2"/>
        <w:wAfter w:w="3150" w:type="dxa"/>
        <w:cantSplit/>
        <w:trHeight w:val="276"/>
      </w:trPr>
      <w:tc>
        <w:tcPr>
          <w:tcW w:w="6660" w:type="dxa"/>
          <w:vMerge/>
          <w:tcBorders>
            <w:top w:val="nil"/>
            <w:left w:val="nil"/>
            <w:bottom w:val="nil"/>
            <w:right w:val="nil"/>
          </w:tcBorders>
        </w:tcPr>
        <w:p w14:paraId="50FA80B8" w14:textId="77777777" w:rsidR="00774385" w:rsidRDefault="00774385" w:rsidP="00EF3E22">
          <w:pPr>
            <w:pStyle w:val="Header"/>
          </w:pPr>
        </w:p>
      </w:tc>
      <w:tc>
        <w:tcPr>
          <w:tcW w:w="270" w:type="dxa"/>
          <w:vMerge/>
          <w:tcBorders>
            <w:top w:val="nil"/>
            <w:left w:val="nil"/>
            <w:bottom w:val="nil"/>
            <w:right w:val="nil"/>
          </w:tcBorders>
        </w:tcPr>
        <w:p w14:paraId="3529008A" w14:textId="77777777" w:rsidR="00774385" w:rsidRDefault="00774385" w:rsidP="00EF3E22">
          <w:pPr>
            <w:pStyle w:val="Header"/>
          </w:pPr>
        </w:p>
      </w:tc>
    </w:tr>
  </w:tbl>
  <w:p w14:paraId="7228324D" w14:textId="77777777" w:rsidR="00774385" w:rsidRDefault="007743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E22"/>
    <w:rsid w:val="00012F23"/>
    <w:rsid w:val="00013252"/>
    <w:rsid w:val="00015D4B"/>
    <w:rsid w:val="000165F8"/>
    <w:rsid w:val="0001770D"/>
    <w:rsid w:val="00024DEA"/>
    <w:rsid w:val="00025EEB"/>
    <w:rsid w:val="00031D7B"/>
    <w:rsid w:val="00033AA1"/>
    <w:rsid w:val="00034710"/>
    <w:rsid w:val="00036360"/>
    <w:rsid w:val="00036A42"/>
    <w:rsid w:val="00054044"/>
    <w:rsid w:val="00066FBD"/>
    <w:rsid w:val="00067731"/>
    <w:rsid w:val="00073FA3"/>
    <w:rsid w:val="00076937"/>
    <w:rsid w:val="000769D7"/>
    <w:rsid w:val="0007772B"/>
    <w:rsid w:val="00084FF8"/>
    <w:rsid w:val="00090581"/>
    <w:rsid w:val="000924DD"/>
    <w:rsid w:val="000963A3"/>
    <w:rsid w:val="000A5233"/>
    <w:rsid w:val="000C0671"/>
    <w:rsid w:val="000C1955"/>
    <w:rsid w:val="000C50EE"/>
    <w:rsid w:val="000C58C0"/>
    <w:rsid w:val="000C7934"/>
    <w:rsid w:val="000D7F9C"/>
    <w:rsid w:val="000E0F46"/>
    <w:rsid w:val="000E165B"/>
    <w:rsid w:val="000E4F1A"/>
    <w:rsid w:val="000E78CA"/>
    <w:rsid w:val="00107DEA"/>
    <w:rsid w:val="00110A8C"/>
    <w:rsid w:val="001135CA"/>
    <w:rsid w:val="0012093B"/>
    <w:rsid w:val="00124F43"/>
    <w:rsid w:val="001479C4"/>
    <w:rsid w:val="00152EAA"/>
    <w:rsid w:val="0016798C"/>
    <w:rsid w:val="001713B5"/>
    <w:rsid w:val="00175485"/>
    <w:rsid w:val="00184F4C"/>
    <w:rsid w:val="001853F1"/>
    <w:rsid w:val="001865F9"/>
    <w:rsid w:val="00191E35"/>
    <w:rsid w:val="00195B67"/>
    <w:rsid w:val="001A2748"/>
    <w:rsid w:val="001D0DE0"/>
    <w:rsid w:val="001D4DDA"/>
    <w:rsid w:val="001E17BF"/>
    <w:rsid w:val="001E401E"/>
    <w:rsid w:val="001F4CBC"/>
    <w:rsid w:val="002130DB"/>
    <w:rsid w:val="002310EE"/>
    <w:rsid w:val="00233185"/>
    <w:rsid w:val="0023648B"/>
    <w:rsid w:val="00243D92"/>
    <w:rsid w:val="002447B3"/>
    <w:rsid w:val="00254097"/>
    <w:rsid w:val="00257694"/>
    <w:rsid w:val="00274A74"/>
    <w:rsid w:val="00282423"/>
    <w:rsid w:val="00283C7A"/>
    <w:rsid w:val="00292775"/>
    <w:rsid w:val="002A3F6F"/>
    <w:rsid w:val="002B2C79"/>
    <w:rsid w:val="002C63C9"/>
    <w:rsid w:val="002C6EB3"/>
    <w:rsid w:val="002D037A"/>
    <w:rsid w:val="002D7087"/>
    <w:rsid w:val="002E52A7"/>
    <w:rsid w:val="002F190A"/>
    <w:rsid w:val="002F27B3"/>
    <w:rsid w:val="002F3858"/>
    <w:rsid w:val="002F3963"/>
    <w:rsid w:val="002F78E5"/>
    <w:rsid w:val="0030392D"/>
    <w:rsid w:val="0031042D"/>
    <w:rsid w:val="00312A73"/>
    <w:rsid w:val="00312C20"/>
    <w:rsid w:val="003253DF"/>
    <w:rsid w:val="00333AFB"/>
    <w:rsid w:val="00335AF3"/>
    <w:rsid w:val="003446A6"/>
    <w:rsid w:val="00344F9C"/>
    <w:rsid w:val="00353C1C"/>
    <w:rsid w:val="0035405C"/>
    <w:rsid w:val="003541D5"/>
    <w:rsid w:val="00357829"/>
    <w:rsid w:val="00371A38"/>
    <w:rsid w:val="00371D17"/>
    <w:rsid w:val="00374093"/>
    <w:rsid w:val="00383072"/>
    <w:rsid w:val="00394D1B"/>
    <w:rsid w:val="003A4E4D"/>
    <w:rsid w:val="003C1940"/>
    <w:rsid w:val="003C6052"/>
    <w:rsid w:val="003D0203"/>
    <w:rsid w:val="003D1F14"/>
    <w:rsid w:val="003D4B53"/>
    <w:rsid w:val="003D7497"/>
    <w:rsid w:val="003D75C3"/>
    <w:rsid w:val="003E3D2F"/>
    <w:rsid w:val="003F090F"/>
    <w:rsid w:val="003F7B0A"/>
    <w:rsid w:val="00400321"/>
    <w:rsid w:val="004030B5"/>
    <w:rsid w:val="004037B1"/>
    <w:rsid w:val="00410038"/>
    <w:rsid w:val="00415100"/>
    <w:rsid w:val="00421EB6"/>
    <w:rsid w:val="00425377"/>
    <w:rsid w:val="004261E4"/>
    <w:rsid w:val="004340DC"/>
    <w:rsid w:val="00435DE3"/>
    <w:rsid w:val="00435F11"/>
    <w:rsid w:val="00442BCA"/>
    <w:rsid w:val="00445539"/>
    <w:rsid w:val="00450B6C"/>
    <w:rsid w:val="0045339E"/>
    <w:rsid w:val="004615DE"/>
    <w:rsid w:val="00473A06"/>
    <w:rsid w:val="0048043E"/>
    <w:rsid w:val="004809AC"/>
    <w:rsid w:val="004A4CD0"/>
    <w:rsid w:val="004C4E41"/>
    <w:rsid w:val="004D0161"/>
    <w:rsid w:val="004D0F89"/>
    <w:rsid w:val="004D123C"/>
    <w:rsid w:val="004D3369"/>
    <w:rsid w:val="004D5A31"/>
    <w:rsid w:val="004E501A"/>
    <w:rsid w:val="004F04FB"/>
    <w:rsid w:val="004F0813"/>
    <w:rsid w:val="004F6D02"/>
    <w:rsid w:val="00511532"/>
    <w:rsid w:val="00531828"/>
    <w:rsid w:val="00533A9E"/>
    <w:rsid w:val="0054466C"/>
    <w:rsid w:val="0055061A"/>
    <w:rsid w:val="00587340"/>
    <w:rsid w:val="00587396"/>
    <w:rsid w:val="005905BA"/>
    <w:rsid w:val="00596AD6"/>
    <w:rsid w:val="005A27FB"/>
    <w:rsid w:val="005B3188"/>
    <w:rsid w:val="005B5597"/>
    <w:rsid w:val="005C1DF5"/>
    <w:rsid w:val="005E3D3A"/>
    <w:rsid w:val="005E43F6"/>
    <w:rsid w:val="005E4DDE"/>
    <w:rsid w:val="005E5546"/>
    <w:rsid w:val="005E5A6B"/>
    <w:rsid w:val="005F123A"/>
    <w:rsid w:val="005F2357"/>
    <w:rsid w:val="005F2D88"/>
    <w:rsid w:val="005F4B7B"/>
    <w:rsid w:val="00605B85"/>
    <w:rsid w:val="006178B5"/>
    <w:rsid w:val="00617B7C"/>
    <w:rsid w:val="00624F86"/>
    <w:rsid w:val="006345D9"/>
    <w:rsid w:val="006367EB"/>
    <w:rsid w:val="00645040"/>
    <w:rsid w:val="00646E85"/>
    <w:rsid w:val="00650770"/>
    <w:rsid w:val="00655919"/>
    <w:rsid w:val="00661A91"/>
    <w:rsid w:val="0066309E"/>
    <w:rsid w:val="00666604"/>
    <w:rsid w:val="00666896"/>
    <w:rsid w:val="00693B46"/>
    <w:rsid w:val="00696595"/>
    <w:rsid w:val="006C12EF"/>
    <w:rsid w:val="006D2571"/>
    <w:rsid w:val="006F10D3"/>
    <w:rsid w:val="006F2345"/>
    <w:rsid w:val="006F29E8"/>
    <w:rsid w:val="00700EAB"/>
    <w:rsid w:val="00701946"/>
    <w:rsid w:val="00704C47"/>
    <w:rsid w:val="00716BD2"/>
    <w:rsid w:val="00716DCB"/>
    <w:rsid w:val="00725BCE"/>
    <w:rsid w:val="0074499B"/>
    <w:rsid w:val="00746B33"/>
    <w:rsid w:val="007558C6"/>
    <w:rsid w:val="00756229"/>
    <w:rsid w:val="00756BD1"/>
    <w:rsid w:val="0075793B"/>
    <w:rsid w:val="00772907"/>
    <w:rsid w:val="00774385"/>
    <w:rsid w:val="00774EE5"/>
    <w:rsid w:val="007773A8"/>
    <w:rsid w:val="007C0208"/>
    <w:rsid w:val="007C28C0"/>
    <w:rsid w:val="007C2C2C"/>
    <w:rsid w:val="007C4659"/>
    <w:rsid w:val="007C566A"/>
    <w:rsid w:val="007E1E13"/>
    <w:rsid w:val="00800E74"/>
    <w:rsid w:val="0080266D"/>
    <w:rsid w:val="00802FA4"/>
    <w:rsid w:val="008045DE"/>
    <w:rsid w:val="0081269B"/>
    <w:rsid w:val="0082337E"/>
    <w:rsid w:val="00826378"/>
    <w:rsid w:val="00832EFE"/>
    <w:rsid w:val="00833918"/>
    <w:rsid w:val="0083451C"/>
    <w:rsid w:val="00834D4B"/>
    <w:rsid w:val="00836023"/>
    <w:rsid w:val="00836F9E"/>
    <w:rsid w:val="00837235"/>
    <w:rsid w:val="008447C8"/>
    <w:rsid w:val="00846B01"/>
    <w:rsid w:val="008A505D"/>
    <w:rsid w:val="008A6969"/>
    <w:rsid w:val="008B2DCF"/>
    <w:rsid w:val="008B43AB"/>
    <w:rsid w:val="008D674A"/>
    <w:rsid w:val="008E0B67"/>
    <w:rsid w:val="008E3383"/>
    <w:rsid w:val="008E623E"/>
    <w:rsid w:val="009005DB"/>
    <w:rsid w:val="009008BC"/>
    <w:rsid w:val="00903636"/>
    <w:rsid w:val="00907615"/>
    <w:rsid w:val="00915FAD"/>
    <w:rsid w:val="009237CF"/>
    <w:rsid w:val="0092627D"/>
    <w:rsid w:val="0093122D"/>
    <w:rsid w:val="0093499C"/>
    <w:rsid w:val="00941EA4"/>
    <w:rsid w:val="00943DC2"/>
    <w:rsid w:val="0094617C"/>
    <w:rsid w:val="00947637"/>
    <w:rsid w:val="00951C0D"/>
    <w:rsid w:val="00956338"/>
    <w:rsid w:val="00962765"/>
    <w:rsid w:val="00974224"/>
    <w:rsid w:val="00981E90"/>
    <w:rsid w:val="0098373E"/>
    <w:rsid w:val="009850D3"/>
    <w:rsid w:val="00997342"/>
    <w:rsid w:val="009973C7"/>
    <w:rsid w:val="009B4F55"/>
    <w:rsid w:val="009B57FB"/>
    <w:rsid w:val="009B6B44"/>
    <w:rsid w:val="009B7E7A"/>
    <w:rsid w:val="009C297A"/>
    <w:rsid w:val="009D3D58"/>
    <w:rsid w:val="009D666E"/>
    <w:rsid w:val="009F41BF"/>
    <w:rsid w:val="009F694E"/>
    <w:rsid w:val="00A0144B"/>
    <w:rsid w:val="00A03B8D"/>
    <w:rsid w:val="00A10731"/>
    <w:rsid w:val="00A10D79"/>
    <w:rsid w:val="00A1371F"/>
    <w:rsid w:val="00A33C66"/>
    <w:rsid w:val="00A377C6"/>
    <w:rsid w:val="00A4526F"/>
    <w:rsid w:val="00A51C46"/>
    <w:rsid w:val="00A53ACC"/>
    <w:rsid w:val="00A566A8"/>
    <w:rsid w:val="00A62726"/>
    <w:rsid w:val="00A73D6C"/>
    <w:rsid w:val="00A837C4"/>
    <w:rsid w:val="00A90567"/>
    <w:rsid w:val="00A93CCA"/>
    <w:rsid w:val="00A95D56"/>
    <w:rsid w:val="00A97C71"/>
    <w:rsid w:val="00AA101D"/>
    <w:rsid w:val="00AB3F81"/>
    <w:rsid w:val="00AC12F0"/>
    <w:rsid w:val="00AD1DE9"/>
    <w:rsid w:val="00AE0489"/>
    <w:rsid w:val="00AE5B88"/>
    <w:rsid w:val="00AE710E"/>
    <w:rsid w:val="00AF529F"/>
    <w:rsid w:val="00AF6067"/>
    <w:rsid w:val="00B0147B"/>
    <w:rsid w:val="00B0204F"/>
    <w:rsid w:val="00B02F2C"/>
    <w:rsid w:val="00B032F5"/>
    <w:rsid w:val="00B2019B"/>
    <w:rsid w:val="00B24011"/>
    <w:rsid w:val="00B36DB3"/>
    <w:rsid w:val="00B42C20"/>
    <w:rsid w:val="00B52B22"/>
    <w:rsid w:val="00B63F32"/>
    <w:rsid w:val="00B7124B"/>
    <w:rsid w:val="00B72D26"/>
    <w:rsid w:val="00B773A2"/>
    <w:rsid w:val="00B80577"/>
    <w:rsid w:val="00B915E1"/>
    <w:rsid w:val="00B94795"/>
    <w:rsid w:val="00BA152E"/>
    <w:rsid w:val="00BA4393"/>
    <w:rsid w:val="00BA6C84"/>
    <w:rsid w:val="00BB209A"/>
    <w:rsid w:val="00BB2194"/>
    <w:rsid w:val="00BC06B4"/>
    <w:rsid w:val="00BC6E0B"/>
    <w:rsid w:val="00BD04F5"/>
    <w:rsid w:val="00BD425F"/>
    <w:rsid w:val="00BE3070"/>
    <w:rsid w:val="00BF77CF"/>
    <w:rsid w:val="00C16841"/>
    <w:rsid w:val="00C21349"/>
    <w:rsid w:val="00C2318F"/>
    <w:rsid w:val="00C26200"/>
    <w:rsid w:val="00C30081"/>
    <w:rsid w:val="00C318DD"/>
    <w:rsid w:val="00C31A8D"/>
    <w:rsid w:val="00C31C71"/>
    <w:rsid w:val="00C35D23"/>
    <w:rsid w:val="00C4103A"/>
    <w:rsid w:val="00C4272E"/>
    <w:rsid w:val="00C57FE3"/>
    <w:rsid w:val="00C62AC9"/>
    <w:rsid w:val="00C63CB8"/>
    <w:rsid w:val="00C72761"/>
    <w:rsid w:val="00C775E5"/>
    <w:rsid w:val="00C90766"/>
    <w:rsid w:val="00CA0988"/>
    <w:rsid w:val="00CA57CC"/>
    <w:rsid w:val="00CB0D8F"/>
    <w:rsid w:val="00CB20ED"/>
    <w:rsid w:val="00CB695F"/>
    <w:rsid w:val="00CC0D4E"/>
    <w:rsid w:val="00CC4171"/>
    <w:rsid w:val="00CC603E"/>
    <w:rsid w:val="00CD68D8"/>
    <w:rsid w:val="00CE1918"/>
    <w:rsid w:val="00CF1232"/>
    <w:rsid w:val="00D02027"/>
    <w:rsid w:val="00D047E4"/>
    <w:rsid w:val="00D077BF"/>
    <w:rsid w:val="00D17B80"/>
    <w:rsid w:val="00D25189"/>
    <w:rsid w:val="00D2572E"/>
    <w:rsid w:val="00D33AA5"/>
    <w:rsid w:val="00D40AC3"/>
    <w:rsid w:val="00D424E9"/>
    <w:rsid w:val="00D62B34"/>
    <w:rsid w:val="00D77A59"/>
    <w:rsid w:val="00D80574"/>
    <w:rsid w:val="00DA036D"/>
    <w:rsid w:val="00DB6555"/>
    <w:rsid w:val="00DC2C8A"/>
    <w:rsid w:val="00DC61F2"/>
    <w:rsid w:val="00DD3488"/>
    <w:rsid w:val="00DD3B93"/>
    <w:rsid w:val="00DE001E"/>
    <w:rsid w:val="00DE5DB3"/>
    <w:rsid w:val="00DF3EEE"/>
    <w:rsid w:val="00DF62BE"/>
    <w:rsid w:val="00E1297E"/>
    <w:rsid w:val="00E146B7"/>
    <w:rsid w:val="00E510A7"/>
    <w:rsid w:val="00E510FB"/>
    <w:rsid w:val="00E6189B"/>
    <w:rsid w:val="00E70A72"/>
    <w:rsid w:val="00E87341"/>
    <w:rsid w:val="00E90E01"/>
    <w:rsid w:val="00E96D8D"/>
    <w:rsid w:val="00EA4AAE"/>
    <w:rsid w:val="00EB462D"/>
    <w:rsid w:val="00EB5ED4"/>
    <w:rsid w:val="00EC0E5A"/>
    <w:rsid w:val="00EC34D7"/>
    <w:rsid w:val="00EC4C2F"/>
    <w:rsid w:val="00EC6942"/>
    <w:rsid w:val="00ED6E24"/>
    <w:rsid w:val="00EF3E22"/>
    <w:rsid w:val="00F00E75"/>
    <w:rsid w:val="00F039F4"/>
    <w:rsid w:val="00F31BCE"/>
    <w:rsid w:val="00F41649"/>
    <w:rsid w:val="00F417CA"/>
    <w:rsid w:val="00F43E0B"/>
    <w:rsid w:val="00F5174F"/>
    <w:rsid w:val="00F5661C"/>
    <w:rsid w:val="00F65CD7"/>
    <w:rsid w:val="00F7261E"/>
    <w:rsid w:val="00F7519F"/>
    <w:rsid w:val="00F818B3"/>
    <w:rsid w:val="00F81B84"/>
    <w:rsid w:val="00F844AF"/>
    <w:rsid w:val="00F84ED5"/>
    <w:rsid w:val="00F85ECA"/>
    <w:rsid w:val="00F87E69"/>
    <w:rsid w:val="00F914F2"/>
    <w:rsid w:val="00FA4112"/>
    <w:rsid w:val="00FB38EB"/>
    <w:rsid w:val="00FC3688"/>
    <w:rsid w:val="00FE15B5"/>
    <w:rsid w:val="00FE7A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3AAC0303"/>
  <w15:docId w15:val="{2FEA7AB9-EA5F-453B-A75D-A6A7A40B6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E22"/>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F3E22"/>
    <w:pPr>
      <w:tabs>
        <w:tab w:val="center" w:pos="4320"/>
        <w:tab w:val="right" w:pos="8640"/>
      </w:tabs>
    </w:pPr>
  </w:style>
  <w:style w:type="character" w:customStyle="1" w:styleId="HeaderChar">
    <w:name w:val="Header Char"/>
    <w:basedOn w:val="DefaultParagraphFont"/>
    <w:link w:val="Header"/>
    <w:rsid w:val="00EF3E22"/>
    <w:rPr>
      <w:rFonts w:ascii="Times New Roman" w:eastAsia="Times New Roman" w:hAnsi="Times New Roman" w:cs="Times New Roman"/>
      <w:sz w:val="20"/>
      <w:szCs w:val="20"/>
    </w:rPr>
  </w:style>
  <w:style w:type="paragraph" w:styleId="Footer">
    <w:name w:val="footer"/>
    <w:basedOn w:val="Normal"/>
    <w:link w:val="FooterChar"/>
    <w:rsid w:val="00EF3E22"/>
    <w:pPr>
      <w:tabs>
        <w:tab w:val="center" w:pos="4320"/>
        <w:tab w:val="right" w:pos="8640"/>
      </w:tabs>
    </w:pPr>
  </w:style>
  <w:style w:type="character" w:customStyle="1" w:styleId="FooterChar">
    <w:name w:val="Footer Char"/>
    <w:basedOn w:val="DefaultParagraphFont"/>
    <w:link w:val="Footer"/>
    <w:rsid w:val="00EF3E22"/>
    <w:rPr>
      <w:rFonts w:ascii="Times New Roman" w:eastAsia="Times New Roman" w:hAnsi="Times New Roman" w:cs="Times New Roman"/>
      <w:sz w:val="20"/>
      <w:szCs w:val="20"/>
    </w:rPr>
  </w:style>
  <w:style w:type="table" w:styleId="TableGrid">
    <w:name w:val="Table Grid"/>
    <w:basedOn w:val="TableNormal"/>
    <w:uiPriority w:val="59"/>
    <w:rsid w:val="00EF3E22"/>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EF3E22"/>
  </w:style>
  <w:style w:type="paragraph" w:styleId="BalloonText">
    <w:name w:val="Balloon Text"/>
    <w:basedOn w:val="Normal"/>
    <w:link w:val="BalloonTextChar"/>
    <w:uiPriority w:val="99"/>
    <w:semiHidden/>
    <w:unhideWhenUsed/>
    <w:rsid w:val="00EF3E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3E22"/>
    <w:rPr>
      <w:rFonts w:ascii="Lucida Grande" w:eastAsia="Times New Roman" w:hAnsi="Lucida Grande" w:cs="Lucida Grande"/>
      <w:sz w:val="18"/>
      <w:szCs w:val="18"/>
    </w:rPr>
  </w:style>
  <w:style w:type="character" w:styleId="Hyperlink">
    <w:name w:val="Hyperlink"/>
    <w:basedOn w:val="DefaultParagraphFont"/>
    <w:uiPriority w:val="99"/>
    <w:unhideWhenUsed/>
    <w:rsid w:val="0055061A"/>
    <w:rPr>
      <w:color w:val="0000FF" w:themeColor="hyperlink"/>
      <w:u w:val="single"/>
    </w:rPr>
  </w:style>
  <w:style w:type="character" w:styleId="CommentReference">
    <w:name w:val="annotation reference"/>
    <w:basedOn w:val="DefaultParagraphFont"/>
    <w:uiPriority w:val="99"/>
    <w:semiHidden/>
    <w:unhideWhenUsed/>
    <w:rsid w:val="00666604"/>
    <w:rPr>
      <w:sz w:val="16"/>
      <w:szCs w:val="16"/>
    </w:rPr>
  </w:style>
  <w:style w:type="paragraph" w:styleId="CommentText">
    <w:name w:val="annotation text"/>
    <w:basedOn w:val="Normal"/>
    <w:link w:val="CommentTextChar"/>
    <w:uiPriority w:val="99"/>
    <w:semiHidden/>
    <w:unhideWhenUsed/>
    <w:rsid w:val="00666604"/>
  </w:style>
  <w:style w:type="character" w:customStyle="1" w:styleId="CommentTextChar">
    <w:name w:val="Comment Text Char"/>
    <w:basedOn w:val="DefaultParagraphFont"/>
    <w:link w:val="CommentText"/>
    <w:uiPriority w:val="99"/>
    <w:semiHidden/>
    <w:rsid w:val="0066660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66604"/>
    <w:rPr>
      <w:b/>
      <w:bCs/>
    </w:rPr>
  </w:style>
  <w:style w:type="character" w:customStyle="1" w:styleId="CommentSubjectChar">
    <w:name w:val="Comment Subject Char"/>
    <w:basedOn w:val="CommentTextChar"/>
    <w:link w:val="CommentSubject"/>
    <w:uiPriority w:val="99"/>
    <w:semiHidden/>
    <w:rsid w:val="00666604"/>
    <w:rPr>
      <w:rFonts w:ascii="Times New Roman" w:eastAsia="Times New Roman" w:hAnsi="Times New Roman" w:cs="Times New Roman"/>
      <w:b/>
      <w:bCs/>
      <w:sz w:val="20"/>
      <w:szCs w:val="20"/>
    </w:rPr>
  </w:style>
  <w:style w:type="table" w:styleId="LightShading">
    <w:name w:val="Light Shading"/>
    <w:basedOn w:val="TableNormal"/>
    <w:uiPriority w:val="60"/>
    <w:rsid w:val="00F65CD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666896"/>
    <w:rPr>
      <w:rFonts w:ascii="Times New Roman" w:eastAsia="Times New Roman" w:hAnsi="Times New Roman" w:cs="Times New Roman"/>
      <w:sz w:val="20"/>
      <w:szCs w:val="20"/>
    </w:rPr>
  </w:style>
  <w:style w:type="paragraph" w:styleId="FootnoteText">
    <w:name w:val="footnote text"/>
    <w:basedOn w:val="Normal"/>
    <w:link w:val="FootnoteTextChar"/>
    <w:uiPriority w:val="99"/>
    <w:unhideWhenUsed/>
    <w:rsid w:val="004D0F89"/>
  </w:style>
  <w:style w:type="character" w:customStyle="1" w:styleId="FootnoteTextChar">
    <w:name w:val="Footnote Text Char"/>
    <w:basedOn w:val="DefaultParagraphFont"/>
    <w:link w:val="FootnoteText"/>
    <w:uiPriority w:val="99"/>
    <w:rsid w:val="004D0F89"/>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4D0F89"/>
    <w:rPr>
      <w:vertAlign w:val="superscript"/>
    </w:rPr>
  </w:style>
  <w:style w:type="character" w:styleId="FollowedHyperlink">
    <w:name w:val="FollowedHyperlink"/>
    <w:basedOn w:val="DefaultParagraphFont"/>
    <w:uiPriority w:val="99"/>
    <w:semiHidden/>
    <w:unhideWhenUsed/>
    <w:rsid w:val="009237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001031">
      <w:bodyDiv w:val="1"/>
      <w:marLeft w:val="0"/>
      <w:marRight w:val="0"/>
      <w:marTop w:val="0"/>
      <w:marBottom w:val="0"/>
      <w:divBdr>
        <w:top w:val="none" w:sz="0" w:space="0" w:color="auto"/>
        <w:left w:val="none" w:sz="0" w:space="0" w:color="auto"/>
        <w:bottom w:val="none" w:sz="0" w:space="0" w:color="auto"/>
        <w:right w:val="none" w:sz="0" w:space="0" w:color="auto"/>
      </w:divBdr>
    </w:div>
    <w:div w:id="1018119594">
      <w:bodyDiv w:val="1"/>
      <w:marLeft w:val="0"/>
      <w:marRight w:val="0"/>
      <w:marTop w:val="0"/>
      <w:marBottom w:val="0"/>
      <w:divBdr>
        <w:top w:val="none" w:sz="0" w:space="0" w:color="auto"/>
        <w:left w:val="none" w:sz="0" w:space="0" w:color="auto"/>
        <w:bottom w:val="none" w:sz="0" w:space="0" w:color="auto"/>
        <w:right w:val="none" w:sz="0" w:space="0" w:color="auto"/>
      </w:divBdr>
    </w:div>
    <w:div w:id="1193886053">
      <w:bodyDiv w:val="1"/>
      <w:marLeft w:val="0"/>
      <w:marRight w:val="0"/>
      <w:marTop w:val="0"/>
      <w:marBottom w:val="0"/>
      <w:divBdr>
        <w:top w:val="none" w:sz="0" w:space="0" w:color="auto"/>
        <w:left w:val="none" w:sz="0" w:space="0" w:color="auto"/>
        <w:bottom w:val="none" w:sz="0" w:space="0" w:color="auto"/>
        <w:right w:val="none" w:sz="0" w:space="0" w:color="auto"/>
      </w:divBdr>
    </w:div>
    <w:div w:id="1378967943">
      <w:bodyDiv w:val="1"/>
      <w:marLeft w:val="0"/>
      <w:marRight w:val="0"/>
      <w:marTop w:val="0"/>
      <w:marBottom w:val="0"/>
      <w:divBdr>
        <w:top w:val="none" w:sz="0" w:space="0" w:color="auto"/>
        <w:left w:val="none" w:sz="0" w:space="0" w:color="auto"/>
        <w:bottom w:val="none" w:sz="0" w:space="0" w:color="auto"/>
        <w:right w:val="none" w:sz="0" w:space="0" w:color="auto"/>
      </w:divBdr>
    </w:div>
    <w:div w:id="1570262608">
      <w:bodyDiv w:val="1"/>
      <w:marLeft w:val="0"/>
      <w:marRight w:val="0"/>
      <w:marTop w:val="0"/>
      <w:marBottom w:val="0"/>
      <w:divBdr>
        <w:top w:val="none" w:sz="0" w:space="0" w:color="auto"/>
        <w:left w:val="none" w:sz="0" w:space="0" w:color="auto"/>
        <w:bottom w:val="none" w:sz="0" w:space="0" w:color="auto"/>
        <w:right w:val="none" w:sz="0" w:space="0" w:color="auto"/>
      </w:divBdr>
    </w:div>
    <w:div w:id="1635865070">
      <w:bodyDiv w:val="1"/>
      <w:marLeft w:val="0"/>
      <w:marRight w:val="0"/>
      <w:marTop w:val="0"/>
      <w:marBottom w:val="0"/>
      <w:divBdr>
        <w:top w:val="none" w:sz="0" w:space="0" w:color="auto"/>
        <w:left w:val="none" w:sz="0" w:space="0" w:color="auto"/>
        <w:bottom w:val="none" w:sz="0" w:space="0" w:color="auto"/>
        <w:right w:val="none" w:sz="0" w:space="0" w:color="auto"/>
      </w:divBdr>
    </w:div>
    <w:div w:id="17539715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_rels/footnotes.xml.rels><?xml version="1.0" encoding="UTF-8" standalone="yes"?>
<Relationships xmlns="http://schemas.openxmlformats.org/package/2006/relationships"><Relationship Id="rId3" Type="http://schemas.openxmlformats.org/officeDocument/2006/relationships/hyperlink" Target="https://www.epa.gov/energy/greenhouse-gases-equivalencies-calculator-calculations-and-references" TargetMode="External"/><Relationship Id="rId2" Type="http://schemas.openxmlformats.org/officeDocument/2006/relationships/hyperlink" Target="https://www.epa.gov/energy/emissions-generation-resource-integrated-database-egrid" TargetMode="External"/><Relationship Id="rId1" Type="http://schemas.openxmlformats.org/officeDocument/2006/relationships/hyperlink" Target="http://nc-carrboro.civicplus.com/DocumentCenter/Home/View/2788" TargetMode="External"/><Relationship Id="rId4" Type="http://schemas.openxmlformats.org/officeDocument/2006/relationships/hyperlink" Target="https://www.eia.gov/tools/faqs/faq.php?id=307&amp;t=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0D238-5BB2-44CB-A611-83DEA28DE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3607</Words>
  <Characters>20563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Town of Carrboro</Company>
  <LinksUpToDate>false</LinksUpToDate>
  <CharactersWithSpaces>24122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Lazinski</dc:creator>
  <cp:lastModifiedBy>Randy Dodd</cp:lastModifiedBy>
  <cp:revision>2</cp:revision>
  <dcterms:created xsi:type="dcterms:W3CDTF">2017-06-13T17:41:00Z</dcterms:created>
  <dcterms:modified xsi:type="dcterms:W3CDTF">2017-06-13T17:41:00Z</dcterms:modified>
</cp:coreProperties>
</file>